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44C" w:rsidRDefault="0017044C" w:rsidP="0017044C">
      <w:pPr>
        <w:widowControl w:val="0"/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  <w:b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>
        <w:rPr>
          <w:rFonts w:ascii="Palatino Linotype" w:hAnsi="Palatino Linotype" w:cs="Arial"/>
          <w:b/>
        </w:rPr>
        <w:t xml:space="preserve">CUADRAGÉSIMA SEGUNDA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>
        <w:rPr>
          <w:rFonts w:ascii="Palatino Linotype" w:hAnsi="Palatino Linotype" w:cs="Arial"/>
          <w:b/>
        </w:rPr>
        <w:t>CATORCE DE NOVIEMBRE DE DOS MIL DIECIOCHO, EN LOS R</w:t>
      </w:r>
      <w:r w:rsidRPr="0007653D">
        <w:rPr>
          <w:rFonts w:ascii="Palatino Linotype" w:hAnsi="Palatino Linotype" w:cs="Arial"/>
          <w:b/>
        </w:rPr>
        <w:t>ECURSO</w:t>
      </w:r>
      <w:r>
        <w:rPr>
          <w:rFonts w:ascii="Palatino Linotype" w:hAnsi="Palatino Linotype" w:cs="Arial"/>
          <w:b/>
        </w:rPr>
        <w:t>S</w:t>
      </w:r>
      <w:r w:rsidRPr="0007653D">
        <w:rPr>
          <w:rFonts w:ascii="Palatino Linotype" w:hAnsi="Palatino Linotype" w:cs="Arial"/>
          <w:b/>
        </w:rPr>
        <w:t xml:space="preserve"> DE REVISIÓN </w:t>
      </w:r>
      <w:r>
        <w:rPr>
          <w:rFonts w:ascii="Palatino Linotype" w:hAnsi="Palatino Linotype" w:cs="Arial"/>
          <w:b/>
        </w:rPr>
        <w:t xml:space="preserve">ACUMULADOS </w:t>
      </w:r>
      <w:r w:rsidRPr="00772614">
        <w:rPr>
          <w:rFonts w:ascii="Palatino Linotype" w:hAnsi="Palatino Linotype" w:cs="Arial"/>
          <w:b/>
          <w:bCs/>
          <w:spacing w:val="-20"/>
        </w:rPr>
        <w:t>03336/INFOEM/IP/RR/2018, 03337/INFOEM/IP/RR/2018,  03338/INFOEM/IP/RR/2018, 03339/INFOEM/IP/RR/2018, 03340/INFOEM/IP/RR/2018, 03341/INFOEM/IP/RR/2018, 03342/INFOEM/IP/RR/2018, 03343/INFOEM/IP/RR/2018, 03344/INFOEM/IP/RR/2018, 03345/INFOEM/IP/RR/2018, 03346/INFOEM/IP/RR/2018 Y 03347/INFOEM/IP/RR/2018</w:t>
      </w:r>
      <w:r>
        <w:rPr>
          <w:rFonts w:ascii="Palatino Linotype" w:hAnsi="Palatino Linotype" w:cs="Arial"/>
          <w:b/>
          <w:bCs/>
          <w:spacing w:val="-20"/>
        </w:rPr>
        <w:t>.</w:t>
      </w:r>
    </w:p>
    <w:p w:rsidR="0017044C" w:rsidRDefault="0017044C" w:rsidP="0017044C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 xml:space="preserve">respecto de la resolución dictada en </w:t>
      </w:r>
      <w:r>
        <w:rPr>
          <w:rFonts w:ascii="Palatino Linotype" w:hAnsi="Palatino Linotype" w:cs="Arial"/>
        </w:rPr>
        <w:t>los</w:t>
      </w:r>
      <w:r w:rsidRPr="00E42755">
        <w:rPr>
          <w:rFonts w:ascii="Palatino Linotype" w:hAnsi="Palatino Linotype" w:cs="Arial"/>
        </w:rPr>
        <w:t xml:space="preserve"> recurso</w:t>
      </w:r>
      <w:r>
        <w:rPr>
          <w:rFonts w:ascii="Palatino Linotype" w:hAnsi="Palatino Linotype" w:cs="Arial"/>
        </w:rPr>
        <w:t xml:space="preserve">s </w:t>
      </w:r>
      <w:proofErr w:type="gramStart"/>
      <w:r w:rsidRPr="00E42755">
        <w:rPr>
          <w:rFonts w:ascii="Palatino Linotype" w:hAnsi="Palatino Linotype" w:cs="Arial"/>
        </w:rPr>
        <w:t>de</w:t>
      </w:r>
      <w:proofErr w:type="gramEnd"/>
      <w:r w:rsidRPr="00E42755">
        <w:rPr>
          <w:rFonts w:ascii="Palatino Linotype" w:hAnsi="Palatino Linotype" w:cs="Arial"/>
        </w:rPr>
        <w:t xml:space="preserve"> revisión</w:t>
      </w:r>
      <w:r>
        <w:rPr>
          <w:rFonts w:ascii="Palatino Linotype" w:hAnsi="Palatino Linotype" w:cs="Arial"/>
        </w:rPr>
        <w:t xml:space="preserve"> acumulados, referidos en el párrafo anterior y </w:t>
      </w:r>
      <w:r w:rsidRPr="00E42755">
        <w:rPr>
          <w:rFonts w:ascii="Palatino Linotype" w:hAnsi="Palatino Linotype" w:cs="Arial"/>
        </w:rPr>
        <w:t xml:space="preserve">pronunciada por el Pleno de este Instituto ante el proyecto presentado por </w:t>
      </w:r>
      <w:r>
        <w:rPr>
          <w:rFonts w:ascii="Palatino Linotype" w:hAnsi="Palatino Linotype" w:cs="Arial"/>
        </w:rPr>
        <w:t xml:space="preserve">el </w:t>
      </w:r>
      <w:r w:rsidRPr="00E42755">
        <w:rPr>
          <w:rFonts w:ascii="Palatino Linotype" w:hAnsi="Palatino Linotype" w:cs="Arial"/>
        </w:rPr>
        <w:t>Comisionad</w:t>
      </w:r>
      <w:r>
        <w:rPr>
          <w:rFonts w:ascii="Palatino Linotype" w:hAnsi="Palatino Linotype" w:cs="Arial"/>
        </w:rPr>
        <w:t xml:space="preserve">o </w:t>
      </w:r>
      <w:r>
        <w:rPr>
          <w:rFonts w:ascii="Palatino Linotype" w:hAnsi="Palatino Linotype" w:cs="Arial"/>
          <w:b/>
        </w:rPr>
        <w:t xml:space="preserve">JAVIER MARTÍNEZ CRUZ, </w:t>
      </w:r>
      <w:r>
        <w:rPr>
          <w:rFonts w:ascii="Palatino Linotype" w:hAnsi="Palatino Linotype" w:cs="Arial"/>
        </w:rPr>
        <w:t>q</w:t>
      </w:r>
      <w:r w:rsidRPr="00E42755">
        <w:rPr>
          <w:rFonts w:ascii="Palatino Linotype" w:hAnsi="Palatino Linotype" w:cs="Arial"/>
        </w:rPr>
        <w:t>ue es del tenor siguiente</w:t>
      </w:r>
      <w:r>
        <w:rPr>
          <w:rFonts w:ascii="Palatino Linotype" w:hAnsi="Palatino Linotype" w:cs="Arial"/>
        </w:rPr>
        <w:t>.</w:t>
      </w:r>
    </w:p>
    <w:p w:rsidR="0017044C" w:rsidRDefault="0017044C" w:rsidP="0017044C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las causas que dieron origen a los recursos de revisión en comento;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, tocante a parte de la información de la que se ordena su entrega</w:t>
      </w:r>
      <w:r w:rsidRPr="00D93A88">
        <w:rPr>
          <w:rFonts w:ascii="Palatino Linotype" w:hAnsi="Palatino Linotype"/>
        </w:rPr>
        <w:t>.</w:t>
      </w:r>
    </w:p>
    <w:p w:rsidR="0017044C" w:rsidRPr="00F309E5" w:rsidRDefault="0017044C" w:rsidP="0017044C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/>
          <w:color w:val="000000" w:themeColor="text1"/>
        </w:rPr>
      </w:pPr>
      <w:r>
        <w:rPr>
          <w:rFonts w:ascii="Palatino Linotype" w:hAnsi="Palatino Linotype"/>
        </w:rPr>
        <w:lastRenderedPageBreak/>
        <w:t>T</w:t>
      </w:r>
      <w:r w:rsidRPr="00D93A88">
        <w:rPr>
          <w:rFonts w:ascii="Palatino Linotype" w:hAnsi="Palatino Linotype"/>
        </w:rPr>
        <w:t>al y como quedó debidamente asentado en la resoluci</w:t>
      </w:r>
      <w:r>
        <w:rPr>
          <w:rFonts w:ascii="Palatino Linotype" w:hAnsi="Palatino Linotype"/>
        </w:rPr>
        <w:t>ón materia del presente voto, el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esencialmente de la </w:t>
      </w:r>
      <w:r w:rsidRPr="009A66DF">
        <w:rPr>
          <w:rFonts w:ascii="Palatino Linotype" w:hAnsi="Palatino Linotype" w:cs="Arial"/>
          <w:b/>
        </w:rPr>
        <w:t>Universidad Politécnica del Valle de Toluca</w:t>
      </w:r>
      <w:r>
        <w:rPr>
          <w:rFonts w:ascii="Palatino Linotype" w:hAnsi="Palatino Linotype"/>
        </w:rPr>
        <w:t xml:space="preserve">, en lo sucesivo </w:t>
      </w:r>
      <w:r>
        <w:rPr>
          <w:rFonts w:ascii="Palatino Linotype" w:hAnsi="Palatino Linotype"/>
          <w:b/>
        </w:rPr>
        <w:t>EL S</w:t>
      </w:r>
      <w:r w:rsidRPr="008C0700">
        <w:rPr>
          <w:rFonts w:ascii="Palatino Linotype" w:hAnsi="Palatino Linotype"/>
          <w:b/>
        </w:rPr>
        <w:t>UJETO OBLIGADO</w:t>
      </w:r>
      <w:r>
        <w:rPr>
          <w:rFonts w:ascii="Palatino Linotype" w:hAnsi="Palatino Linotype"/>
          <w:b/>
        </w:rPr>
        <w:t xml:space="preserve">, </w:t>
      </w:r>
      <w:r w:rsidRPr="003542ED">
        <w:rPr>
          <w:rFonts w:ascii="Palatino Linotype" w:hAnsi="Palatino Linotype" w:cs="Arial"/>
          <w:color w:val="000000" w:themeColor="text1"/>
        </w:rPr>
        <w:t xml:space="preserve">le proporcionara </w:t>
      </w:r>
      <w:r>
        <w:rPr>
          <w:rFonts w:ascii="Palatino Linotype" w:hAnsi="Palatino Linotype"/>
          <w:color w:val="000000" w:themeColor="text1"/>
        </w:rPr>
        <w:t>por el periodo comprendido del año 2007 al 17 de agosto del 2018, la bitácora</w:t>
      </w:r>
      <w:r w:rsidRPr="00F309E5">
        <w:rPr>
          <w:rFonts w:ascii="Palatino Linotype" w:hAnsi="Palatino Linotype"/>
          <w:color w:val="000000" w:themeColor="text1"/>
        </w:rPr>
        <w:t>, formato</w:t>
      </w:r>
      <w:r w:rsidR="00911F03">
        <w:rPr>
          <w:rFonts w:ascii="Palatino Linotype" w:hAnsi="Palatino Linotype"/>
          <w:color w:val="000000" w:themeColor="text1"/>
        </w:rPr>
        <w:t xml:space="preserve"> o</w:t>
      </w:r>
      <w:r w:rsidRPr="00F309E5">
        <w:rPr>
          <w:rFonts w:ascii="Palatino Linotype" w:hAnsi="Palatino Linotype"/>
          <w:color w:val="000000" w:themeColor="text1"/>
        </w:rPr>
        <w:t xml:space="preserve"> documento que avale el resguardo del parque vehicular institucional los fines de semana, días festivos y periodos vacacionales, así como jornadas electorales</w:t>
      </w:r>
      <w:r w:rsidR="00911F03">
        <w:rPr>
          <w:rFonts w:ascii="Palatino Linotype" w:hAnsi="Palatino Linotype"/>
          <w:color w:val="000000" w:themeColor="text1"/>
        </w:rPr>
        <w:t xml:space="preserve"> o bien, </w:t>
      </w:r>
      <w:r>
        <w:rPr>
          <w:rFonts w:ascii="Palatino Linotype" w:hAnsi="Palatino Linotype"/>
          <w:color w:val="000000" w:themeColor="text1"/>
        </w:rPr>
        <w:t>a</w:t>
      </w:r>
      <w:r w:rsidRPr="00F309E5">
        <w:rPr>
          <w:rFonts w:ascii="Palatino Linotype" w:hAnsi="Palatino Linotype"/>
          <w:color w:val="000000" w:themeColor="text1"/>
        </w:rPr>
        <w:t>nte la falta de los</w:t>
      </w:r>
      <w:r>
        <w:rPr>
          <w:rFonts w:ascii="Palatino Linotype" w:hAnsi="Palatino Linotype"/>
          <w:color w:val="000000" w:themeColor="text1"/>
        </w:rPr>
        <w:t xml:space="preserve"> documentos en mención, la</w:t>
      </w:r>
      <w:r w:rsidRPr="00F309E5">
        <w:rPr>
          <w:rFonts w:ascii="Palatino Linotype" w:hAnsi="Palatino Linotype"/>
          <w:color w:val="000000" w:themeColor="text1"/>
        </w:rPr>
        <w:t xml:space="preserve"> </w:t>
      </w:r>
      <w:r>
        <w:rPr>
          <w:rFonts w:ascii="Palatino Linotype" w:hAnsi="Palatino Linotype"/>
          <w:color w:val="000000" w:themeColor="text1"/>
        </w:rPr>
        <w:t>c</w:t>
      </w:r>
      <w:r w:rsidRPr="00F309E5">
        <w:rPr>
          <w:rFonts w:ascii="Palatino Linotype" w:hAnsi="Palatino Linotype"/>
          <w:color w:val="000000" w:themeColor="text1"/>
        </w:rPr>
        <w:t xml:space="preserve">omisión oficial que avale la salida del parque vehicular. </w:t>
      </w:r>
    </w:p>
    <w:p w:rsidR="0017044C" w:rsidRPr="00A84AB9" w:rsidRDefault="0017044C" w:rsidP="0017044C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orden de ideas, </w:t>
      </w:r>
      <w:r>
        <w:rPr>
          <w:rFonts w:ascii="Palatino Linotype" w:hAnsi="Palatino Linotype"/>
          <w:b/>
        </w:rPr>
        <w:t xml:space="preserve">EL SUJETO OBLIGADO </w:t>
      </w:r>
      <w:r>
        <w:rPr>
          <w:rFonts w:ascii="Palatino Linotype" w:hAnsi="Palatino Linotype"/>
        </w:rPr>
        <w:t xml:space="preserve">mediante sus respuestas </w:t>
      </w:r>
      <w:r w:rsidR="00911F03">
        <w:rPr>
          <w:rFonts w:ascii="Palatino Linotype" w:hAnsi="Palatino Linotype"/>
        </w:rPr>
        <w:t>informó que</w:t>
      </w:r>
      <w:r w:rsidRPr="003542ED">
        <w:rPr>
          <w:rFonts w:ascii="Palatino Linotype" w:hAnsi="Palatino Linotype" w:cs="Arial"/>
          <w:color w:val="000000" w:themeColor="text1"/>
        </w:rPr>
        <w:t xml:space="preserve"> la 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>Jefa del Departamento de Recur</w:t>
      </w:r>
      <w:r>
        <w:rPr>
          <w:rFonts w:ascii="Palatino Linotype" w:hAnsi="Palatino Linotype" w:cs="Arial"/>
          <w:bCs/>
          <w:color w:val="000000" w:themeColor="text1"/>
          <w:lang w:val="es-MX"/>
        </w:rPr>
        <w:t xml:space="preserve">sos Humanos y Materiales </w:t>
      </w:r>
      <w:r w:rsidR="00911F03">
        <w:rPr>
          <w:rFonts w:ascii="Palatino Linotype" w:hAnsi="Palatino Linotype" w:cs="Arial"/>
          <w:bCs/>
          <w:color w:val="000000" w:themeColor="text1"/>
          <w:lang w:val="es-MX"/>
        </w:rPr>
        <w:t>comunicó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 xml:space="preserve"> a la Unidad de Transparencia </w:t>
      </w:r>
      <w:r>
        <w:rPr>
          <w:rFonts w:ascii="Palatino Linotype" w:hAnsi="Palatino Linotype" w:cs="Arial"/>
          <w:bCs/>
          <w:color w:val="000000" w:themeColor="text1"/>
          <w:lang w:val="es-MX"/>
        </w:rPr>
        <w:t>que derivado de una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 xml:space="preserve"> búsqueda exhaustiva en los archivo</w:t>
      </w:r>
      <w:r>
        <w:rPr>
          <w:rFonts w:ascii="Palatino Linotype" w:hAnsi="Palatino Linotype" w:cs="Arial"/>
          <w:bCs/>
          <w:color w:val="000000" w:themeColor="text1"/>
          <w:lang w:val="es-MX"/>
        </w:rPr>
        <w:t xml:space="preserve">s de esa unidad administrativa y 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>con fundamento en el Manual General de Organización, no existe un supuesto en donde lo obligue a co</w:t>
      </w:r>
      <w:r w:rsidR="00911F03">
        <w:rPr>
          <w:rFonts w:ascii="Palatino Linotype" w:hAnsi="Palatino Linotype" w:cs="Arial"/>
          <w:bCs/>
          <w:color w:val="000000" w:themeColor="text1"/>
          <w:lang w:val="es-MX"/>
        </w:rPr>
        <w:t xml:space="preserve">ntar con una bitácora, formato o 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>documento en donde conste el resguardo de lo</w:t>
      </w:r>
      <w:r>
        <w:rPr>
          <w:rFonts w:ascii="Palatino Linotype" w:hAnsi="Palatino Linotype" w:cs="Arial"/>
          <w:bCs/>
          <w:color w:val="000000" w:themeColor="text1"/>
          <w:lang w:val="es-MX"/>
        </w:rPr>
        <w:t>s vehículos de la institución, a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 xml:space="preserve">gregando que la ACP-021 del </w:t>
      </w:r>
      <w:r w:rsidRPr="00465655">
        <w:rPr>
          <w:rFonts w:ascii="Palatino Linotype" w:hAnsi="Palatino Linotype" w:cs="Arial"/>
          <w:bCs/>
          <w:color w:val="000000" w:themeColor="text1"/>
          <w:lang w:val="es-MX"/>
        </w:rPr>
        <w:t xml:space="preserve">Acuerdo por el que se establecen las normas administrativas para la asignación y uso de bienes y servicios de las dependencias y organismos auxiliares del Poder Ejecutivo Estatal publicado el 24 de febrero de 2005 y la POBALIN-019 del Acuerdo por el que se establecen las políticas, bases y lineamientos en materia de adquisiciones, enajenaciones, arrendamientos y servicios de las dependencias, organismos auxiliares y tribunales administrativos del Poder Ejecutivo Estatal 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>publi</w:t>
      </w:r>
      <w:r w:rsidR="00911F03">
        <w:rPr>
          <w:rFonts w:ascii="Palatino Linotype" w:hAnsi="Palatino Linotype" w:cs="Arial"/>
          <w:bCs/>
          <w:color w:val="000000" w:themeColor="text1"/>
          <w:lang w:val="es-MX"/>
        </w:rPr>
        <w:t xml:space="preserve">cado el 09 de diciembre de 2013, 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 xml:space="preserve">se establece que los titulares de las áreas de administración y los usuarios de los vehículos de uso operativo serán responsables de 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lastRenderedPageBreak/>
        <w:t>que permanezcan en los estacionamientos destinados para tal efecto en los días inhábiles, pero no obliga a que se genere una bitácora o formato de control, o documento en donde conste el resguardo de los vehículos, por lo</w:t>
      </w:r>
      <w:r>
        <w:rPr>
          <w:rFonts w:ascii="Palatino Linotype" w:hAnsi="Palatino Linotype" w:cs="Arial"/>
          <w:bCs/>
          <w:color w:val="000000" w:themeColor="text1"/>
          <w:lang w:val="es-MX"/>
        </w:rPr>
        <w:t xml:space="preserve"> que solamente se procedía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 xml:space="preserve"> a realizar una revisión física para constatar que las unidades vehiculares se encuentran en los estacionamientos destinados para </w:t>
      </w:r>
      <w:r>
        <w:rPr>
          <w:rFonts w:ascii="Palatino Linotype" w:hAnsi="Palatino Linotype" w:cs="Arial"/>
          <w:bCs/>
          <w:color w:val="000000" w:themeColor="text1"/>
          <w:lang w:val="es-MX"/>
        </w:rPr>
        <w:t xml:space="preserve">cumplir con lo establecido en la </w:t>
      </w:r>
      <w:r w:rsidRPr="003542ED">
        <w:rPr>
          <w:rFonts w:ascii="Palatino Linotype" w:hAnsi="Palatino Linotype" w:cs="Arial"/>
          <w:bCs/>
          <w:color w:val="000000" w:themeColor="text1"/>
          <w:lang w:val="es-MX"/>
        </w:rPr>
        <w:t>normatividad en comento.</w:t>
      </w:r>
    </w:p>
    <w:p w:rsidR="0017044C" w:rsidRDefault="0017044C" w:rsidP="0017044C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Inconforme con las respuestas, </w:t>
      </w:r>
      <w:r>
        <w:rPr>
          <w:rFonts w:ascii="Palatino Linotype" w:hAnsi="Palatino Linotype" w:cs="Arial"/>
          <w:b/>
        </w:rPr>
        <w:t xml:space="preserve">EL RECURRENTE </w:t>
      </w:r>
      <w:r>
        <w:rPr>
          <w:rFonts w:ascii="Palatino Linotype" w:hAnsi="Palatino Linotype" w:cs="Arial"/>
        </w:rPr>
        <w:t>interpuso los recursos de revisión de mérito.</w:t>
      </w:r>
    </w:p>
    <w:p w:rsidR="0017044C" w:rsidRDefault="0017044C" w:rsidP="0017044C">
      <w:pPr>
        <w:spacing w:before="240" w:after="240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Así, la Ponencia Resolutora determinó </w:t>
      </w:r>
      <w:r>
        <w:rPr>
          <w:rFonts w:ascii="Palatino Linotype" w:hAnsi="Palatino Linotype" w:cs="Arial"/>
          <w:b/>
        </w:rPr>
        <w:t xml:space="preserve">MODIFICAR </w:t>
      </w:r>
      <w:r>
        <w:rPr>
          <w:rFonts w:ascii="Palatino Linotype" w:hAnsi="Palatino Linotype" w:cs="Arial"/>
        </w:rPr>
        <w:t xml:space="preserve">las respuestas del </w:t>
      </w:r>
      <w:r w:rsidRPr="00242018"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ordenando la entrega vía SAIMEX </w:t>
      </w:r>
      <w:r>
        <w:rPr>
          <w:rFonts w:ascii="Palatino Linotype" w:eastAsia="Calibri" w:hAnsi="Palatino Linotype" w:cs="Arial"/>
        </w:rPr>
        <w:t>de</w:t>
      </w:r>
      <w:r>
        <w:rPr>
          <w:rFonts w:ascii="Palatino Linotype" w:eastAsia="Calibri" w:hAnsi="Palatino Linotype" w:cs="Arial"/>
          <w:b/>
        </w:rPr>
        <w:t xml:space="preserve"> </w:t>
      </w:r>
      <w:r>
        <w:rPr>
          <w:rFonts w:ascii="Palatino Linotype" w:hAnsi="Palatino Linotype"/>
        </w:rPr>
        <w:t>lo siguiente</w:t>
      </w:r>
      <w:r>
        <w:rPr>
          <w:rFonts w:ascii="Palatino Linotype" w:hAnsi="Palatino Linotype" w:cs="Arial"/>
        </w:rPr>
        <w:t>:</w:t>
      </w:r>
    </w:p>
    <w:p w:rsidR="0017044C" w:rsidRPr="001E2169" w:rsidRDefault="0017044C" w:rsidP="0017044C">
      <w:pPr>
        <w:pStyle w:val="Prrafodelista"/>
        <w:numPr>
          <w:ilvl w:val="0"/>
          <w:numId w:val="1"/>
        </w:numPr>
        <w:ind w:left="992" w:right="902" w:hanging="153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>
        <w:rPr>
          <w:rFonts w:ascii="Palatino Linotype" w:hAnsi="Palatino Linotype"/>
          <w:i/>
          <w:sz w:val="22"/>
          <w:szCs w:val="22"/>
        </w:rPr>
        <w:t>“</w:t>
      </w:r>
      <w:r w:rsidRPr="001E2169">
        <w:rPr>
          <w:rFonts w:ascii="Palatino Linotype" w:hAnsi="Palatino Linotype"/>
          <w:i/>
          <w:sz w:val="22"/>
          <w:szCs w:val="22"/>
        </w:rPr>
        <w:t xml:space="preserve">El documento o documentos en donde conste el resguardo de los vehículos oficiales del Sujeto Obligado en días inhábiles y jornadas electorales por el periodo comprendido del uno de enero de dos mil siete al diecisiete de agosto de dos mil dieciocho. </w:t>
      </w:r>
    </w:p>
    <w:p w:rsidR="0017044C" w:rsidRPr="001E2169" w:rsidRDefault="0017044C" w:rsidP="0017044C">
      <w:pPr>
        <w:pStyle w:val="Prrafodelista"/>
        <w:ind w:left="992" w:right="902" w:hanging="153"/>
        <w:jc w:val="both"/>
        <w:rPr>
          <w:rFonts w:ascii="Palatino Linotype" w:hAnsi="Palatino Linotype"/>
          <w:i/>
          <w:sz w:val="22"/>
          <w:szCs w:val="22"/>
        </w:rPr>
      </w:pPr>
    </w:p>
    <w:p w:rsidR="0017044C" w:rsidRPr="001E2169" w:rsidRDefault="0017044C" w:rsidP="0017044C">
      <w:pPr>
        <w:pStyle w:val="Prrafodelista"/>
        <w:numPr>
          <w:ilvl w:val="0"/>
          <w:numId w:val="1"/>
        </w:numPr>
        <w:ind w:left="992" w:right="902" w:hanging="153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1E2169">
        <w:rPr>
          <w:rFonts w:ascii="Palatino Linotype" w:hAnsi="Palatino Linotype"/>
          <w:i/>
          <w:sz w:val="22"/>
          <w:szCs w:val="22"/>
        </w:rPr>
        <w:t xml:space="preserve">El documento o documentos en donde conste el resguardo de los vehículos oficiales del Sujeto Obligado en jornadas electorales por el periodo comprendido del uno de enero de dos mil siete al treinta y uno de diciembre de dos mil diecisiete. </w:t>
      </w:r>
    </w:p>
    <w:p w:rsidR="0017044C" w:rsidRPr="001E2169" w:rsidRDefault="0017044C" w:rsidP="0017044C">
      <w:pPr>
        <w:pStyle w:val="Prrafodelista"/>
        <w:ind w:left="992" w:right="902" w:hanging="153"/>
        <w:jc w:val="both"/>
        <w:rPr>
          <w:rFonts w:ascii="Palatino Linotype" w:hAnsi="Palatino Linotype"/>
          <w:i/>
          <w:sz w:val="22"/>
          <w:szCs w:val="22"/>
        </w:rPr>
      </w:pPr>
    </w:p>
    <w:p w:rsidR="0017044C" w:rsidRPr="001E2169" w:rsidRDefault="0017044C" w:rsidP="0017044C">
      <w:pPr>
        <w:pStyle w:val="Prrafodelista"/>
        <w:numPr>
          <w:ilvl w:val="0"/>
          <w:numId w:val="1"/>
        </w:numPr>
        <w:ind w:left="992" w:right="902" w:hanging="153"/>
        <w:contextualSpacing w:val="0"/>
        <w:jc w:val="both"/>
        <w:rPr>
          <w:rFonts w:ascii="Palatino Linotype" w:hAnsi="Palatino Linotype"/>
          <w:i/>
          <w:sz w:val="22"/>
          <w:szCs w:val="22"/>
        </w:rPr>
      </w:pPr>
      <w:r w:rsidRPr="001E2169">
        <w:rPr>
          <w:rFonts w:ascii="Palatino Linotype" w:hAnsi="Palatino Linotype"/>
          <w:i/>
          <w:sz w:val="22"/>
          <w:szCs w:val="22"/>
        </w:rPr>
        <w:t>El documento o documentos en donde conste que se autorizó que los vehículos oficiales del Sujeto Obligado fueran utilizados en horas y días inhábiles, por el periodo comprendido del uno de enero de dos mil siete al diecisiete de agosto de dos mil dieciocho</w:t>
      </w:r>
      <w:r w:rsidRPr="001E2169">
        <w:rPr>
          <w:rFonts w:ascii="Palatino Linotype" w:hAnsi="Palatino Linotype" w:cs="Arial"/>
          <w:i/>
          <w:sz w:val="22"/>
          <w:szCs w:val="22"/>
        </w:rPr>
        <w:t>.</w:t>
      </w:r>
    </w:p>
    <w:p w:rsidR="0017044C" w:rsidRDefault="0017044C" w:rsidP="0017044C">
      <w:pPr>
        <w:pStyle w:val="Prrafodelista"/>
        <w:ind w:left="851" w:right="902"/>
        <w:jc w:val="both"/>
        <w:rPr>
          <w:rFonts w:ascii="Palatino Linotype" w:hAnsi="Palatino Linotype" w:cs="Segoe UI"/>
          <w:i/>
          <w:sz w:val="22"/>
          <w:szCs w:val="22"/>
        </w:rPr>
      </w:pPr>
    </w:p>
    <w:p w:rsidR="0017044C" w:rsidRPr="001E2169" w:rsidRDefault="0017044C" w:rsidP="0017044C">
      <w:pPr>
        <w:pStyle w:val="Prrafodelista"/>
        <w:ind w:left="851" w:right="902"/>
        <w:jc w:val="both"/>
        <w:rPr>
          <w:rFonts w:ascii="Palatino Linotype" w:hAnsi="Palatino Linotype" w:cs="Arial"/>
          <w:i/>
          <w:sz w:val="22"/>
          <w:szCs w:val="22"/>
        </w:rPr>
      </w:pPr>
      <w:r w:rsidRPr="001E2169">
        <w:rPr>
          <w:rFonts w:ascii="Palatino Linotype" w:hAnsi="Palatino Linotype" w:cs="Segoe UI"/>
          <w:i/>
          <w:sz w:val="22"/>
          <w:szCs w:val="22"/>
        </w:rPr>
        <w:t xml:space="preserve">Para el caso de los incisos a) y b), si derivado de la búsqueda exhaustiva y razonable, no localiza la documentación requerida, el Sujeto Obligado deberá realizar el Acuerdo de </w:t>
      </w:r>
      <w:r w:rsidRPr="001E2169">
        <w:rPr>
          <w:rFonts w:ascii="Palatino Linotype" w:hAnsi="Palatino Linotype" w:cs="Segoe UI"/>
          <w:bCs/>
          <w:i/>
          <w:sz w:val="22"/>
          <w:szCs w:val="22"/>
        </w:rPr>
        <w:t>Inexistencia</w:t>
      </w:r>
      <w:r w:rsidRPr="001E2169">
        <w:rPr>
          <w:rFonts w:ascii="Palatino Linotype" w:hAnsi="Palatino Linotype" w:cs="Segoe UI"/>
          <w:i/>
          <w:sz w:val="22"/>
          <w:szCs w:val="22"/>
        </w:rPr>
        <w:t xml:space="preserve"> que apruebe el Comité de Transparencia</w:t>
      </w:r>
      <w:r w:rsidRPr="001E2169">
        <w:rPr>
          <w:rFonts w:ascii="Palatino Linotype" w:hAnsi="Palatino Linotype" w:cs="Arial"/>
          <w:i/>
          <w:sz w:val="22"/>
          <w:szCs w:val="22"/>
        </w:rPr>
        <w:t>, en términos de lo establecido en el Considerando Cuarto de la presente resolución</w:t>
      </w:r>
    </w:p>
    <w:p w:rsidR="0017044C" w:rsidRDefault="0017044C" w:rsidP="0017044C">
      <w:pPr>
        <w:pStyle w:val="Prrafodelista"/>
        <w:ind w:left="851" w:right="902"/>
        <w:jc w:val="both"/>
        <w:rPr>
          <w:rFonts w:ascii="Palatino Linotype" w:hAnsi="Palatino Linotype" w:cs="Segoe UI"/>
          <w:i/>
          <w:sz w:val="22"/>
          <w:szCs w:val="22"/>
        </w:rPr>
      </w:pPr>
    </w:p>
    <w:p w:rsidR="0017044C" w:rsidRPr="001E2169" w:rsidRDefault="0017044C" w:rsidP="0017044C">
      <w:pPr>
        <w:pStyle w:val="Prrafodelista"/>
        <w:ind w:left="851" w:right="902"/>
        <w:jc w:val="both"/>
        <w:rPr>
          <w:rFonts w:ascii="Palatino Linotype" w:hAnsi="Palatino Linotype" w:cs="Segoe UI"/>
          <w:i/>
          <w:sz w:val="22"/>
          <w:szCs w:val="22"/>
        </w:rPr>
      </w:pPr>
      <w:r w:rsidRPr="001E2169">
        <w:rPr>
          <w:rFonts w:ascii="Palatino Linotype" w:hAnsi="Palatino Linotype" w:cs="Segoe UI"/>
          <w:i/>
          <w:sz w:val="22"/>
          <w:szCs w:val="22"/>
        </w:rPr>
        <w:t>Respecto del inciso c), para el caso de que no se encuentre información, bastará con que el Sujeto Obligado se pronuncie en tal sentido.</w:t>
      </w:r>
      <w:r>
        <w:rPr>
          <w:rFonts w:ascii="Palatino Linotype" w:hAnsi="Palatino Linotype" w:cs="Segoe UI"/>
          <w:i/>
          <w:sz w:val="22"/>
          <w:szCs w:val="22"/>
        </w:rPr>
        <w:t>”</w:t>
      </w:r>
    </w:p>
    <w:p w:rsidR="00E30CEF" w:rsidRDefault="0017044C" w:rsidP="0017044C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  <w:bCs/>
          <w:color w:val="000000" w:themeColor="text1"/>
          <w:lang w:val="es-MX"/>
        </w:rPr>
      </w:pPr>
      <w:r w:rsidRPr="004F3DBF">
        <w:rPr>
          <w:rFonts w:ascii="Palatino Linotype" w:hAnsi="Palatino Linotype" w:cs="Arial"/>
          <w:lang w:val="es-MX"/>
        </w:rPr>
        <w:t xml:space="preserve">En ese sentido, </w:t>
      </w:r>
      <w:r>
        <w:rPr>
          <w:rFonts w:ascii="Palatino Linotype" w:hAnsi="Palatino Linotype" w:cs="Arial"/>
          <w:lang w:val="es-MX"/>
        </w:rPr>
        <w:t>se reitera que la suscrita coincide con las causas que dieron origen a los recursos de revisión de mérito; sin embargo</w:t>
      </w:r>
      <w:r w:rsidRPr="004F3DBF">
        <w:rPr>
          <w:rFonts w:ascii="Palatino Linotype" w:hAnsi="Palatino Linotype" w:cs="Arial"/>
          <w:lang w:val="es-MX"/>
        </w:rPr>
        <w:t xml:space="preserve">, </w:t>
      </w:r>
      <w:r>
        <w:rPr>
          <w:rFonts w:ascii="Palatino Linotype" w:hAnsi="Palatino Linotype" w:cs="Arial"/>
          <w:lang w:val="es-MX"/>
        </w:rPr>
        <w:t xml:space="preserve">considero importante destacar que la normatividad </w:t>
      </w:r>
      <w:r w:rsidR="00E30CEF">
        <w:rPr>
          <w:rFonts w:ascii="Palatino Linotype" w:hAnsi="Palatino Linotype" w:cs="Arial"/>
          <w:lang w:val="es-MX"/>
        </w:rPr>
        <w:t xml:space="preserve">relativa a </w:t>
      </w:r>
      <w:r w:rsidR="00E30CEF" w:rsidRPr="003542ED">
        <w:rPr>
          <w:rFonts w:ascii="Palatino Linotype" w:hAnsi="Palatino Linotype" w:cs="Arial"/>
          <w:bCs/>
          <w:color w:val="000000" w:themeColor="text1"/>
          <w:lang w:val="es-MX"/>
        </w:rPr>
        <w:t xml:space="preserve">la ACP-021 del </w:t>
      </w:r>
      <w:r w:rsidR="00E30CEF" w:rsidRPr="00465655">
        <w:rPr>
          <w:rFonts w:ascii="Palatino Linotype" w:hAnsi="Palatino Linotype" w:cs="Arial"/>
          <w:bCs/>
          <w:color w:val="000000" w:themeColor="text1"/>
          <w:lang w:val="es-MX"/>
        </w:rPr>
        <w:t>Acuerdo por el que se establecen las normas administrativas para la asignación y uso de bienes y servicios de las dependencias y organismos auxiliares del Poder Ejecutivo Estatal publicado el 24 de febrero de 2005</w:t>
      </w:r>
      <w:r w:rsidR="00E30CEF">
        <w:rPr>
          <w:rFonts w:ascii="Palatino Linotype" w:hAnsi="Palatino Linotype" w:cs="Arial"/>
          <w:bCs/>
          <w:color w:val="000000" w:themeColor="text1"/>
          <w:lang w:val="es-MX"/>
        </w:rPr>
        <w:t>, la cual pertenece a</w:t>
      </w:r>
      <w:r w:rsidR="00F9498F">
        <w:rPr>
          <w:rFonts w:ascii="Palatino Linotype" w:hAnsi="Palatino Linotype" w:cs="Arial"/>
          <w:bCs/>
          <w:color w:val="000000" w:themeColor="text1"/>
          <w:lang w:val="es-MX"/>
        </w:rPr>
        <w:t xml:space="preserve"> </w:t>
      </w:r>
      <w:r w:rsidR="00E30CEF">
        <w:rPr>
          <w:rFonts w:ascii="Palatino Linotype" w:hAnsi="Palatino Linotype" w:cs="Arial"/>
          <w:bCs/>
          <w:color w:val="000000" w:themeColor="text1"/>
          <w:lang w:val="es-MX"/>
        </w:rPr>
        <w:t>l</w:t>
      </w:r>
      <w:r w:rsidR="00F9498F">
        <w:rPr>
          <w:rFonts w:ascii="Palatino Linotype" w:hAnsi="Palatino Linotype" w:cs="Arial"/>
          <w:bCs/>
          <w:color w:val="000000" w:themeColor="text1"/>
          <w:lang w:val="es-MX"/>
        </w:rPr>
        <w:t>a fracción III, denominada</w:t>
      </w:r>
      <w:r w:rsidR="00E30CEF">
        <w:rPr>
          <w:rFonts w:ascii="Palatino Linotype" w:hAnsi="Palatino Linotype" w:cs="Arial"/>
          <w:bCs/>
          <w:color w:val="000000" w:themeColor="text1"/>
          <w:lang w:val="es-MX"/>
        </w:rPr>
        <w:t xml:space="preserve"> Control Patrimonial </w:t>
      </w:r>
      <w:r w:rsidR="00F9498F">
        <w:rPr>
          <w:rFonts w:ascii="Palatino Linotype" w:hAnsi="Palatino Linotype" w:cs="Arial"/>
          <w:bCs/>
          <w:color w:val="000000" w:themeColor="text1"/>
          <w:lang w:val="es-MX"/>
        </w:rPr>
        <w:t>tal como se aprecia a continuación:</w:t>
      </w:r>
    </w:p>
    <w:p w:rsidR="00F9498F" w:rsidRDefault="00F9498F" w:rsidP="00F9498F">
      <w:pPr>
        <w:spacing w:before="100" w:beforeAutospacing="1" w:after="100" w:afterAutospacing="1" w:line="360" w:lineRule="auto"/>
        <w:ind w:right="49"/>
        <w:jc w:val="center"/>
        <w:rPr>
          <w:rFonts w:ascii="Palatino Linotype" w:hAnsi="Palatino Linotype" w:cs="Arial"/>
          <w:bCs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DDF9575" wp14:editId="38CDEF85">
            <wp:extent cx="4534305" cy="19133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894" t="18656" r="16863" b="33155"/>
                    <a:stretch/>
                  </pic:blipFill>
                  <pic:spPr bwMode="auto">
                    <a:xfrm>
                      <a:off x="0" y="0"/>
                      <a:ext cx="4549584" cy="191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98F" w:rsidRDefault="00F9498F" w:rsidP="00F9498F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  <w:bCs/>
          <w:color w:val="000000" w:themeColor="text1"/>
          <w:lang w:val="es-MX"/>
        </w:rPr>
      </w:pPr>
      <w:r>
        <w:rPr>
          <w:rFonts w:ascii="Palatino Linotype" w:hAnsi="Palatino Linotype" w:cs="Arial"/>
          <w:bCs/>
          <w:color w:val="000000" w:themeColor="text1"/>
          <w:lang w:val="es-MX"/>
        </w:rPr>
        <w:t xml:space="preserve">Es de referir que dicha fracción fue derogada el 9 de diciembre de 2013, mediante el Tercero Transitorio de los artículos del Acuerdo </w:t>
      </w:r>
      <w:r w:rsidRPr="00F9498F">
        <w:rPr>
          <w:rFonts w:ascii="Palatino Linotype" w:hAnsi="Palatino Linotype" w:cs="Arial"/>
          <w:bCs/>
          <w:color w:val="000000" w:themeColor="text1"/>
          <w:lang w:val="es-MX"/>
        </w:rPr>
        <w:t>por el que se establecen las políticas, bases y lineamientos, en materia de adquisiciones, enajenaciones, arrendamientos y servicios de las dependencias, organismos auxiliares y tribunales administrativos del Poder Ejecutivo del Estado de México</w:t>
      </w:r>
      <w:r>
        <w:rPr>
          <w:rFonts w:ascii="Palatino Linotype" w:hAnsi="Palatino Linotype" w:cs="Arial"/>
          <w:bCs/>
          <w:color w:val="000000" w:themeColor="text1"/>
          <w:lang w:val="es-MX"/>
        </w:rPr>
        <w:t xml:space="preserve">, mismo que fue publicado en la Gaceta del </w:t>
      </w:r>
      <w:r>
        <w:rPr>
          <w:rFonts w:ascii="Palatino Linotype" w:hAnsi="Palatino Linotype" w:cs="Arial"/>
          <w:bCs/>
          <w:color w:val="000000" w:themeColor="text1"/>
          <w:lang w:val="es-MX"/>
        </w:rPr>
        <w:lastRenderedPageBreak/>
        <w:t>Gobierno de la fecha antes referida y que para mejor comprensión se inserta la imagen siguiente:</w:t>
      </w:r>
    </w:p>
    <w:p w:rsidR="00F9498F" w:rsidRPr="00F9498F" w:rsidRDefault="00F9498F" w:rsidP="00F9498F">
      <w:pPr>
        <w:spacing w:before="100" w:beforeAutospacing="1" w:after="100" w:afterAutospacing="1" w:line="360" w:lineRule="auto"/>
        <w:ind w:right="49"/>
        <w:jc w:val="center"/>
        <w:rPr>
          <w:rFonts w:ascii="Palatino Linotype" w:hAnsi="Palatino Linotype" w:cs="Arial"/>
          <w:bCs/>
          <w:color w:val="000000" w:themeColor="text1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447389</wp:posOffset>
                </wp:positionH>
                <wp:positionV relativeFrom="paragraph">
                  <wp:posOffset>728106</wp:posOffset>
                </wp:positionV>
                <wp:extent cx="4889133" cy="565554"/>
                <wp:effectExtent l="19050" t="19050" r="26035" b="2540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133" cy="5655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2F730" id="Rectángulo 3" o:spid="_x0000_s1026" style="position:absolute;margin-left:35.25pt;margin-top:57.35pt;width:384.95pt;height:4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" filled="f" strokecolor="red" strokeweight="2.25pt"/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0F82C5E5" wp14:editId="16BEC375">
            <wp:extent cx="4719955" cy="1321387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42" t="42503" r="9837" b="30565"/>
                    <a:stretch/>
                  </pic:blipFill>
                  <pic:spPr bwMode="auto">
                    <a:xfrm>
                      <a:off x="0" y="0"/>
                      <a:ext cx="4753421" cy="1330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F03" w:rsidRDefault="00F9498F" w:rsidP="0017044C">
      <w:pPr>
        <w:spacing w:before="240" w:after="360" w:line="360" w:lineRule="auto"/>
        <w:ind w:right="-93"/>
        <w:jc w:val="both"/>
        <w:rPr>
          <w:rFonts w:ascii="Palatino Linotype" w:hAnsi="Palatino Linotype" w:cs="Arial"/>
          <w:bCs/>
          <w:color w:val="000000" w:themeColor="text1"/>
          <w:lang w:val="es-MX"/>
        </w:rPr>
      </w:pPr>
      <w:r>
        <w:rPr>
          <w:rFonts w:ascii="Palatino Linotype" w:hAnsi="Palatino Linotype" w:cs="Arial"/>
          <w:bCs/>
          <w:lang w:eastAsia="es-MX"/>
        </w:rPr>
        <w:t>Bajo ese orden de ideas, la suscrita considera necesario referir que la normatividad en la que la Ponencia Resolutora basó su estudio, se encuentra derogada</w:t>
      </w:r>
      <w:r w:rsidR="00A337D9">
        <w:rPr>
          <w:rStyle w:val="Refdenotaalpie"/>
          <w:rFonts w:ascii="Palatino Linotype" w:hAnsi="Palatino Linotype" w:cs="Arial"/>
          <w:bCs/>
          <w:lang w:eastAsia="es-MX"/>
        </w:rPr>
        <w:footnoteReference w:id="1"/>
      </w:r>
      <w:r>
        <w:rPr>
          <w:rFonts w:ascii="Palatino Linotype" w:hAnsi="Palatino Linotype" w:cs="Arial"/>
          <w:bCs/>
          <w:lang w:eastAsia="es-MX"/>
        </w:rPr>
        <w:t xml:space="preserve">, es decir, se dejó sin efectos ese apartado del Acuerdo </w:t>
      </w:r>
      <w:r w:rsidRPr="00465655">
        <w:rPr>
          <w:rFonts w:ascii="Palatino Linotype" w:hAnsi="Palatino Linotype" w:cs="Arial"/>
          <w:bCs/>
          <w:color w:val="000000" w:themeColor="text1"/>
          <w:lang w:val="es-MX"/>
        </w:rPr>
        <w:t>por el que se establecen las normas administrativas para la asignación y uso de bienes y servicios de las dependencias y organismos auxiliares del Poder Ejecutivo Estatal</w:t>
      </w:r>
      <w:r>
        <w:rPr>
          <w:rFonts w:ascii="Palatino Linotype" w:hAnsi="Palatino Linotype" w:cs="Arial"/>
          <w:bCs/>
          <w:color w:val="000000" w:themeColor="text1"/>
          <w:lang w:val="es-MX"/>
        </w:rPr>
        <w:t>, que fue</w:t>
      </w:r>
      <w:r w:rsidR="00911F03">
        <w:rPr>
          <w:rFonts w:ascii="Palatino Linotype" w:hAnsi="Palatino Linotype" w:cs="Arial"/>
          <w:bCs/>
          <w:color w:val="000000" w:themeColor="text1"/>
          <w:lang w:val="es-MX"/>
        </w:rPr>
        <w:t>ra publicado en el año de 2005.</w:t>
      </w:r>
    </w:p>
    <w:p w:rsidR="0017044C" w:rsidRDefault="005E31F9" w:rsidP="0017044C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/>
        </w:rPr>
      </w:pPr>
      <w:r>
        <w:rPr>
          <w:rFonts w:ascii="Palatino Linotype" w:hAnsi="Palatino Linotype" w:cs="Arial"/>
          <w:lang w:val="es-MX"/>
        </w:rPr>
        <w:t xml:space="preserve">Por otra parte, dado que la información requerida y que se ordena es a partir de 2007; por lo que, debió considerarse lo que señala </w:t>
      </w:r>
      <w:r w:rsidR="0017044C">
        <w:rPr>
          <w:rFonts w:ascii="Palatino Linotype" w:hAnsi="Palatino Linotype"/>
        </w:rPr>
        <w:t xml:space="preserve">la Ley de Documentos Administrativos e </w:t>
      </w:r>
      <w:r>
        <w:rPr>
          <w:rFonts w:ascii="Palatino Linotype" w:hAnsi="Palatino Linotype"/>
        </w:rPr>
        <w:t xml:space="preserve">Históricos del Estado de México, misma que </w:t>
      </w:r>
      <w:r w:rsidR="0017044C">
        <w:rPr>
          <w:rFonts w:ascii="Palatino Linotype" w:hAnsi="Palatino Linotype"/>
        </w:rPr>
        <w:t xml:space="preserve">establece cuáles serán los </w:t>
      </w:r>
      <w:r w:rsidR="0017044C" w:rsidRPr="00AF2B86">
        <w:rPr>
          <w:rFonts w:ascii="Palatino Linotype" w:hAnsi="Palatino Linotype"/>
          <w:b/>
        </w:rPr>
        <w:t>sistemas de control y apoyo técnico para la clasificación, catalogación, conservación, reproducción, resguardo y depuración de los documentos con valor histórico</w:t>
      </w:r>
      <w:r w:rsidR="0017044C">
        <w:rPr>
          <w:rFonts w:ascii="Palatino Linotype" w:hAnsi="Palatino Linotype"/>
        </w:rPr>
        <w:t xml:space="preserve">, con </w:t>
      </w:r>
      <w:r w:rsidR="0017044C">
        <w:rPr>
          <w:rFonts w:ascii="Palatino Linotype" w:hAnsi="Palatino Linotype"/>
        </w:rPr>
        <w:lastRenderedPageBreak/>
        <w:t>señalamiento de las áreas de fumigación, restauración y encuadernación, tal como se aprecia a continuación:</w:t>
      </w:r>
    </w:p>
    <w:p w:rsidR="0017044C" w:rsidRPr="00580DE2" w:rsidRDefault="0017044C" w:rsidP="0017044C">
      <w:pPr>
        <w:pStyle w:val="Sinespaciado"/>
        <w:ind w:left="851" w:right="899"/>
        <w:jc w:val="both"/>
        <w:rPr>
          <w:rFonts w:ascii="Palatino Linotype" w:hAnsi="Palatino Linotype" w:cs="Arial"/>
          <w:i/>
          <w:sz w:val="22"/>
          <w:szCs w:val="22"/>
        </w:rPr>
      </w:pPr>
      <w:r>
        <w:rPr>
          <w:rFonts w:ascii="Palatino Linotype" w:hAnsi="Palatino Linotype" w:cs="Arial"/>
          <w:b/>
          <w:i/>
          <w:sz w:val="22"/>
          <w:szCs w:val="22"/>
        </w:rPr>
        <w:t>“</w:t>
      </w:r>
      <w:r w:rsidRPr="00580DE2">
        <w:rPr>
          <w:rFonts w:ascii="Palatino Linotype" w:hAnsi="Palatino Linotype" w:cs="Arial"/>
          <w:b/>
          <w:i/>
          <w:sz w:val="22"/>
          <w:szCs w:val="22"/>
        </w:rPr>
        <w:t>Artículo 8.-</w:t>
      </w:r>
      <w:r w:rsidRPr="00580DE2">
        <w:rPr>
          <w:rFonts w:ascii="Palatino Linotype" w:hAnsi="Palatino Linotype" w:cs="Arial"/>
          <w:i/>
          <w:sz w:val="22"/>
          <w:szCs w:val="22"/>
        </w:rPr>
        <w:t xml:space="preserve"> </w:t>
      </w:r>
      <w:r w:rsidRPr="00580DE2">
        <w:rPr>
          <w:rFonts w:ascii="Palatino Linotype" w:hAnsi="Palatino Linotype" w:cs="Arial"/>
          <w:b/>
          <w:i/>
          <w:sz w:val="22"/>
          <w:szCs w:val="22"/>
        </w:rPr>
        <w:t>Los documentos de contenido administrativo de importancia, serán conservados por 20 años,</w:t>
      </w:r>
      <w:r w:rsidRPr="00580DE2">
        <w:rPr>
          <w:rFonts w:ascii="Palatino Linotype" w:hAnsi="Palatino Linotype" w:cs="Arial"/>
          <w:i/>
          <w:sz w:val="22"/>
          <w:szCs w:val="22"/>
        </w:rPr>
        <w:t xml:space="preserve"> y si el documento se vincula con las funciones de 2 </w:t>
      </w:r>
      <w:proofErr w:type="spellStart"/>
      <w:r w:rsidRPr="00580DE2">
        <w:rPr>
          <w:rFonts w:ascii="Palatino Linotype" w:hAnsi="Palatino Linotype" w:cs="Arial"/>
          <w:i/>
          <w:sz w:val="22"/>
          <w:szCs w:val="22"/>
        </w:rPr>
        <w:t>ó</w:t>
      </w:r>
      <w:proofErr w:type="spellEnd"/>
      <w:r w:rsidRPr="00580DE2">
        <w:rPr>
          <w:rFonts w:ascii="Palatino Linotype" w:hAnsi="Palatino Linotype" w:cs="Arial"/>
          <w:i/>
          <w:sz w:val="22"/>
          <w:szCs w:val="22"/>
        </w:rPr>
        <w:t xml:space="preserve"> más sujetos públicos, deberá transmitirse la información correspondiente, para el efecto, del proceso o vaciado en otros documentos. </w:t>
      </w:r>
    </w:p>
    <w:p w:rsidR="0017044C" w:rsidRDefault="0017044C" w:rsidP="0017044C">
      <w:pPr>
        <w:pStyle w:val="Sinespaciado"/>
        <w:ind w:left="851" w:right="899"/>
        <w:jc w:val="both"/>
        <w:rPr>
          <w:rFonts w:ascii="Palatino Linotype" w:hAnsi="Palatino Linotype" w:cs="Arial"/>
          <w:i/>
          <w:sz w:val="22"/>
          <w:szCs w:val="22"/>
        </w:rPr>
      </w:pPr>
      <w:r w:rsidRPr="00580DE2">
        <w:rPr>
          <w:rFonts w:ascii="Palatino Linotype" w:hAnsi="Palatino Linotype" w:cs="Arial"/>
          <w:b/>
          <w:i/>
          <w:sz w:val="22"/>
          <w:szCs w:val="22"/>
        </w:rPr>
        <w:t>Ningún documento podrá ser destruido, a menos, que, por escrito, lo determine la instancia facultada para ese efecto, en términos de la presente Ley</w:t>
      </w:r>
      <w:r>
        <w:rPr>
          <w:rFonts w:ascii="Palatino Linotype" w:hAnsi="Palatino Linotype" w:cs="Arial"/>
          <w:i/>
          <w:sz w:val="22"/>
          <w:szCs w:val="22"/>
        </w:rPr>
        <w:t>.”</w:t>
      </w:r>
    </w:p>
    <w:p w:rsidR="0017044C" w:rsidRPr="00580DE2" w:rsidRDefault="0017044C" w:rsidP="0017044C">
      <w:pPr>
        <w:pStyle w:val="Sinespaciado"/>
        <w:ind w:left="851" w:right="899"/>
        <w:jc w:val="both"/>
        <w:rPr>
          <w:rFonts w:ascii="Palatino Linotype" w:hAnsi="Palatino Linotype" w:cs="Arial"/>
          <w:i/>
          <w:sz w:val="22"/>
          <w:szCs w:val="22"/>
        </w:rPr>
      </w:pPr>
      <w:r>
        <w:rPr>
          <w:rFonts w:ascii="Palatino Linotype" w:hAnsi="Palatino Linotype" w:cs="Arial"/>
          <w:i/>
          <w:sz w:val="22"/>
          <w:szCs w:val="22"/>
        </w:rPr>
        <w:t>(Énfasis añadido)</w:t>
      </w:r>
    </w:p>
    <w:p w:rsidR="0017044C" w:rsidRDefault="0017044C" w:rsidP="0017044C">
      <w:pPr>
        <w:pStyle w:val="Prrafodelista"/>
        <w:tabs>
          <w:tab w:val="left" w:pos="851"/>
        </w:tabs>
        <w:spacing w:before="240" w:after="240" w:line="360" w:lineRule="auto"/>
        <w:ind w:left="0" w:right="49"/>
        <w:jc w:val="both"/>
        <w:rPr>
          <w:rFonts w:ascii="Palatino Linotype" w:hAnsi="Palatino Linotype" w:cs="Arial"/>
        </w:rPr>
      </w:pPr>
      <w:r w:rsidRPr="007B69B1">
        <w:rPr>
          <w:rFonts w:ascii="Palatino Linotype" w:hAnsi="Palatino Linotype" w:cs="Arial"/>
        </w:rPr>
        <w:t>Aunado a ello, la Ley de Transparencia y Acceso a la Información Pública del Estado de México y Municipios</w:t>
      </w:r>
      <w:r>
        <w:rPr>
          <w:rFonts w:ascii="Palatino Linotype" w:hAnsi="Palatino Linotype" w:cs="Arial"/>
        </w:rPr>
        <w:t>, en su</w:t>
      </w:r>
      <w:r w:rsidRPr="007B69B1">
        <w:rPr>
          <w:rFonts w:ascii="Palatino Linotype" w:hAnsi="Palatino Linotype" w:cs="Arial"/>
        </w:rPr>
        <w:t xml:space="preserve"> artículo 3, fracción XI, </w:t>
      </w:r>
      <w:r>
        <w:rPr>
          <w:rFonts w:ascii="Palatino Linotype" w:hAnsi="Palatino Linotype" w:cs="Arial"/>
        </w:rPr>
        <w:t>establece</w:t>
      </w:r>
      <w:r w:rsidRPr="007B69B1">
        <w:rPr>
          <w:rFonts w:ascii="Palatino Linotype" w:hAnsi="Palatino Linotype" w:cs="Arial"/>
        </w:rPr>
        <w:t xml:space="preserve"> de manera literal lo siguiente:</w:t>
      </w:r>
    </w:p>
    <w:p w:rsidR="0017044C" w:rsidRPr="007B69B1" w:rsidRDefault="0017044C" w:rsidP="0017044C">
      <w:pPr>
        <w:ind w:left="851" w:right="899"/>
        <w:jc w:val="both"/>
        <w:rPr>
          <w:rFonts w:ascii="Palatino Linotype" w:hAnsi="Palatino Linotype" w:cs="Arial"/>
          <w:b/>
          <w:i/>
          <w:sz w:val="22"/>
          <w:szCs w:val="20"/>
        </w:rPr>
      </w:pPr>
      <w:r w:rsidRPr="007B69B1">
        <w:rPr>
          <w:rFonts w:ascii="Palatino Linotype" w:hAnsi="Palatino Linotype" w:cs="Arial"/>
          <w:b/>
          <w:i/>
          <w:sz w:val="22"/>
          <w:szCs w:val="20"/>
        </w:rPr>
        <w:t>Ley de Transparencia y Acceso a la Información Pública del Estado de México y Municipios</w:t>
      </w:r>
    </w:p>
    <w:p w:rsidR="0017044C" w:rsidRPr="007B69B1" w:rsidRDefault="0017044C" w:rsidP="0017044C">
      <w:pPr>
        <w:ind w:left="851" w:right="899"/>
        <w:jc w:val="both"/>
        <w:rPr>
          <w:rFonts w:ascii="Palatino Linotype" w:hAnsi="Palatino Linotype" w:cs="Arial"/>
          <w:i/>
          <w:sz w:val="22"/>
          <w:szCs w:val="20"/>
        </w:rPr>
      </w:pPr>
      <w:r w:rsidRPr="007B69B1">
        <w:rPr>
          <w:rFonts w:ascii="Palatino Linotype" w:hAnsi="Palatino Linotype" w:cs="Arial"/>
          <w:b/>
          <w:i/>
          <w:sz w:val="22"/>
          <w:szCs w:val="20"/>
        </w:rPr>
        <w:t>Artículo 3.</w:t>
      </w:r>
      <w:r w:rsidRPr="007B69B1">
        <w:rPr>
          <w:rFonts w:ascii="Palatino Linotype" w:hAnsi="Palatino Linotype" w:cs="Arial"/>
          <w:i/>
          <w:sz w:val="22"/>
          <w:szCs w:val="20"/>
        </w:rPr>
        <w:t xml:space="preserve"> Para los efectos de la presente Ley se entenderá por:</w:t>
      </w:r>
    </w:p>
    <w:p w:rsidR="0017044C" w:rsidRPr="007B69B1" w:rsidRDefault="0017044C" w:rsidP="0017044C">
      <w:pPr>
        <w:ind w:left="851" w:right="899"/>
        <w:jc w:val="both"/>
        <w:rPr>
          <w:rFonts w:ascii="Palatino Linotype" w:hAnsi="Palatino Linotype" w:cs="Arial"/>
          <w:i/>
          <w:sz w:val="22"/>
          <w:szCs w:val="20"/>
        </w:rPr>
      </w:pPr>
      <w:r w:rsidRPr="007B69B1">
        <w:rPr>
          <w:rFonts w:ascii="Palatino Linotype" w:hAnsi="Palatino Linotype" w:cs="Arial"/>
          <w:i/>
          <w:sz w:val="22"/>
          <w:szCs w:val="20"/>
        </w:rPr>
        <w:t>…</w:t>
      </w:r>
    </w:p>
    <w:p w:rsidR="0017044C" w:rsidRPr="007B69B1" w:rsidRDefault="0017044C" w:rsidP="0017044C">
      <w:pPr>
        <w:ind w:left="851" w:right="899"/>
        <w:jc w:val="both"/>
        <w:rPr>
          <w:rFonts w:ascii="Palatino Linotype" w:hAnsi="Palatino Linotype" w:cs="Arial"/>
          <w:i/>
          <w:sz w:val="22"/>
          <w:szCs w:val="20"/>
        </w:rPr>
      </w:pPr>
      <w:r w:rsidRPr="007B69B1">
        <w:rPr>
          <w:rFonts w:ascii="Palatino Linotype" w:hAnsi="Palatino Linotype" w:cs="Arial"/>
          <w:b/>
          <w:i/>
          <w:sz w:val="22"/>
          <w:szCs w:val="20"/>
        </w:rPr>
        <w:t>XI.</w:t>
      </w:r>
      <w:r w:rsidRPr="007B69B1">
        <w:rPr>
          <w:rFonts w:ascii="Palatino Linotype" w:hAnsi="Palatino Linotype" w:cs="Arial"/>
          <w:i/>
          <w:sz w:val="22"/>
          <w:szCs w:val="20"/>
        </w:rPr>
        <w:t xml:space="preserve"> </w:t>
      </w:r>
      <w:r w:rsidRPr="007B69B1">
        <w:rPr>
          <w:rFonts w:ascii="Palatino Linotype" w:hAnsi="Palatino Linotype" w:cs="Arial"/>
          <w:b/>
          <w:i/>
          <w:sz w:val="22"/>
          <w:szCs w:val="20"/>
        </w:rPr>
        <w:t>Documento:</w:t>
      </w:r>
      <w:r w:rsidRPr="007B69B1">
        <w:rPr>
          <w:rFonts w:ascii="Palatino Linotype" w:hAnsi="Palatino Linotype" w:cs="Arial"/>
          <w:i/>
          <w:sz w:val="22"/>
          <w:szCs w:val="20"/>
        </w:rPr>
        <w:t xml:space="preserve"> Los expedientes, reportes, estudios, actas, resoluciones, oficios, correspondencia, acuerdos, directivas, directrices, circulares, contratos, convenios, instructivos, notas, memorandos, estadísticas o bien, cualquier otro registro que documente el ejercicio de las facultades, funciones y competencias</w:t>
      </w:r>
      <w:r>
        <w:rPr>
          <w:rFonts w:ascii="Palatino Linotype" w:hAnsi="Palatino Linotype" w:cs="Arial"/>
          <w:i/>
          <w:sz w:val="22"/>
          <w:szCs w:val="20"/>
        </w:rPr>
        <w:t xml:space="preserve"> </w:t>
      </w:r>
      <w:r w:rsidRPr="007B69B1">
        <w:rPr>
          <w:rFonts w:ascii="Palatino Linotype" w:hAnsi="Palatino Linotype" w:cs="Arial"/>
          <w:i/>
          <w:sz w:val="22"/>
          <w:szCs w:val="20"/>
        </w:rPr>
        <w:t xml:space="preserve"> de los sujetos obligados, sus servidores públicos e integrantes, sin importar su fuente o fecha de</w:t>
      </w:r>
      <w:r>
        <w:rPr>
          <w:rFonts w:ascii="Palatino Linotype" w:hAnsi="Palatino Linotype" w:cs="Arial"/>
          <w:i/>
          <w:sz w:val="22"/>
          <w:szCs w:val="20"/>
        </w:rPr>
        <w:t xml:space="preserve"> </w:t>
      </w:r>
      <w:r w:rsidRPr="007B69B1">
        <w:rPr>
          <w:rFonts w:ascii="Palatino Linotype" w:hAnsi="Palatino Linotype" w:cs="Arial"/>
          <w:i/>
          <w:sz w:val="22"/>
          <w:szCs w:val="20"/>
        </w:rPr>
        <w:t>elaboración. Los documentos podrán estar en cualquier medio, sea escrito, impreso, sonoro, visual, electrónico, informático u holográfico;</w:t>
      </w:r>
    </w:p>
    <w:p w:rsidR="0017044C" w:rsidRDefault="0017044C" w:rsidP="0017044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Por lo tanto, a criterio de la que suscribe lo procedente era señalar en resolutivos que para el caso de que una vez acreditada la búsqueda exhaustiva de parte del </w:t>
      </w:r>
      <w:r>
        <w:rPr>
          <w:rFonts w:ascii="Palatino Linotype" w:hAnsi="Palatino Linotype" w:cs="Arial"/>
          <w:b/>
        </w:rPr>
        <w:t xml:space="preserve">SUJETO OBLIGADO </w:t>
      </w:r>
      <w:r>
        <w:rPr>
          <w:rFonts w:ascii="Palatino Linotype" w:hAnsi="Palatino Linotype" w:cs="Arial"/>
        </w:rPr>
        <w:t xml:space="preserve">no se localizara la información de la que se ordena la entrega, debería emitir tanto la baja documental como el Acuerdo de Inexistencia de la Información de </w:t>
      </w:r>
      <w:r>
        <w:rPr>
          <w:rFonts w:ascii="Palatino Linotype" w:hAnsi="Palatino Linotype" w:cs="Arial"/>
        </w:rPr>
        <w:lastRenderedPageBreak/>
        <w:t>conformidad con los artículos</w:t>
      </w:r>
      <w:r w:rsidRPr="007B6526">
        <w:rPr>
          <w:rFonts w:ascii="Palatino Linotype" w:hAnsi="Palatino Linotype"/>
          <w:color w:val="222222"/>
        </w:rPr>
        <w:t xml:space="preserve"> 19, 169 y 170 de la Ley de Transparencia y Acceso a la Información Pública del Estado de México y Municipios</w:t>
      </w:r>
      <w:r>
        <w:rPr>
          <w:rFonts w:ascii="Palatino Linotype" w:hAnsi="Palatino Linotype"/>
          <w:color w:val="222222"/>
        </w:rPr>
        <w:t>,</w:t>
      </w:r>
      <w:r>
        <w:rPr>
          <w:rFonts w:ascii="Palatino Linotype" w:hAnsi="Palatino Linotype" w:cs="Arial"/>
        </w:rPr>
        <w:t xml:space="preserve"> esto en razón de que existe fuente obligacional que lo constr</w:t>
      </w:r>
      <w:r w:rsidR="005E31F9">
        <w:rPr>
          <w:rFonts w:ascii="Palatino Linotype" w:hAnsi="Palatino Linotype" w:cs="Arial"/>
        </w:rPr>
        <w:t xml:space="preserve">iñe a contar con la información, consistente en </w:t>
      </w:r>
      <w:r w:rsidR="005E31F9">
        <w:rPr>
          <w:rFonts w:ascii="Palatino Linotype" w:hAnsi="Palatino Linotype"/>
          <w:color w:val="000000" w:themeColor="text1"/>
        </w:rPr>
        <w:t>la bitácora</w:t>
      </w:r>
      <w:r w:rsidR="005E31F9" w:rsidRPr="00F309E5">
        <w:rPr>
          <w:rFonts w:ascii="Palatino Linotype" w:hAnsi="Palatino Linotype"/>
          <w:color w:val="000000" w:themeColor="text1"/>
        </w:rPr>
        <w:t>, formato</w:t>
      </w:r>
      <w:r w:rsidR="005E31F9">
        <w:rPr>
          <w:rFonts w:ascii="Palatino Linotype" w:hAnsi="Palatino Linotype"/>
          <w:color w:val="000000" w:themeColor="text1"/>
        </w:rPr>
        <w:t xml:space="preserve"> o</w:t>
      </w:r>
      <w:r w:rsidR="005E31F9" w:rsidRPr="00F309E5">
        <w:rPr>
          <w:rFonts w:ascii="Palatino Linotype" w:hAnsi="Palatino Linotype"/>
          <w:color w:val="000000" w:themeColor="text1"/>
        </w:rPr>
        <w:t xml:space="preserve"> documento que avale el resguardo del parque vehicular institucional</w:t>
      </w:r>
      <w:r w:rsidR="005E31F9">
        <w:rPr>
          <w:rFonts w:ascii="Palatino Linotype" w:hAnsi="Palatino Linotype"/>
          <w:color w:val="000000" w:themeColor="text1"/>
        </w:rPr>
        <w:t>, por el periodo comprendido del año 2007 al 17 de agosto del 2018.</w:t>
      </w:r>
    </w:p>
    <w:p w:rsidR="0017044C" w:rsidRDefault="0017044C" w:rsidP="0017044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Sirve de sustento a lo anterior, el Criterio orientador número 14/09 emitido por el entonces Instituto Federal de Acceso a la  Información Pública (IFAI), ahora Instituto Nacional de Acceso a la Información Pública y Protección de Datos Personales (INAI), que a la letra señala:</w:t>
      </w:r>
    </w:p>
    <w:p w:rsidR="0017044C" w:rsidRPr="00065724" w:rsidRDefault="0017044C" w:rsidP="0017044C">
      <w:pPr>
        <w:spacing w:before="74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065724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065724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065724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065724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065724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065724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065724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065724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065724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065724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065724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065724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las</w:t>
      </w:r>
      <w:r w:rsidRPr="00065724">
        <w:rPr>
          <w:rFonts w:ascii="Palatino Linotype" w:eastAsia="Arial" w:hAnsi="Palatino Linotype" w:cs="Arial"/>
          <w:b/>
          <w:i/>
          <w:spacing w:val="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ependen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en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ti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dade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ebe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rá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 xml:space="preserve">n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pacing w:val="-5"/>
          <w:sz w:val="22"/>
          <w:szCs w:val="22"/>
        </w:rPr>
        <w:t>x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ped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ir</w:t>
      </w:r>
      <w:r w:rsidRPr="00065724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a res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luci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ó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b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-4"/>
          <w:sz w:val="22"/>
          <w:szCs w:val="22"/>
        </w:rPr>
        <w:t>q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b/>
          <w:i/>
          <w:spacing w:val="-4"/>
          <w:sz w:val="22"/>
          <w:szCs w:val="22"/>
        </w:rPr>
        <w:t>q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los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li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cit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an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s la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ne</w:t>
      </w:r>
      <w:r w:rsidRPr="00065724">
        <w:rPr>
          <w:rFonts w:ascii="Palatino Linotype" w:eastAsia="Arial" w:hAnsi="Palatino Linotype" w:cs="Arial"/>
          <w:b/>
          <w:i/>
          <w:spacing w:val="-5"/>
          <w:sz w:val="22"/>
          <w:szCs w:val="22"/>
        </w:rPr>
        <w:t>x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is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ten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cia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la</w:t>
      </w:r>
      <w:r w:rsidRPr="00065724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>f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ó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 xml:space="preserve">n 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q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ue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ri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 xml:space="preserve">so 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pacing w:val="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q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é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b/>
          <w:i/>
          <w:spacing w:val="-5"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li</w:t>
      </w:r>
      <w:r w:rsidRPr="00065724">
        <w:rPr>
          <w:rFonts w:ascii="Palatino Linotype" w:eastAsia="Arial" w:hAnsi="Palatino Linotype" w:cs="Arial"/>
          <w:b/>
          <w:i/>
          <w:spacing w:val="-5"/>
          <w:sz w:val="22"/>
          <w:szCs w:val="22"/>
        </w:rPr>
        <w:t>z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ad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depen</w:t>
      </w:r>
      <w:r w:rsidRPr="0013465E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d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en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cias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y</w:t>
      </w:r>
      <w:r w:rsidRPr="0013465E">
        <w:rPr>
          <w:rFonts w:ascii="Palatino Linotype" w:eastAsia="Arial" w:hAnsi="Palatino Linotype" w:cs="Arial"/>
          <w:b/>
          <w:i/>
          <w:spacing w:val="33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n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ti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dade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be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r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á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13465E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c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o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m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paña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 xml:space="preserve">a </w:t>
      </w:r>
      <w:r w:rsidRPr="0013465E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l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a res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o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luci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ó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po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13465E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la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qu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s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c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o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n</w:t>
      </w:r>
      <w:r w:rsidRPr="0013465E">
        <w:rPr>
          <w:rFonts w:ascii="Palatino Linotype" w:eastAsia="Arial" w:hAnsi="Palatino Linotype" w:cs="Arial"/>
          <w:b/>
          <w:i/>
          <w:spacing w:val="5"/>
          <w:sz w:val="22"/>
          <w:szCs w:val="22"/>
        </w:rPr>
        <w:t>f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i</w:t>
      </w:r>
      <w:r w:rsidRPr="0013465E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r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m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la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de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clarac</w:t>
      </w:r>
      <w:r w:rsidRPr="0013465E">
        <w:rPr>
          <w:rFonts w:ascii="Palatino Linotype" w:eastAsia="Arial" w:hAnsi="Palatino Linotype" w:cs="Arial"/>
          <w:b/>
          <w:i/>
          <w:spacing w:val="-5"/>
          <w:sz w:val="22"/>
          <w:szCs w:val="22"/>
        </w:rPr>
        <w:t>i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ó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in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pacing w:val="-5"/>
          <w:sz w:val="22"/>
          <w:szCs w:val="22"/>
        </w:rPr>
        <w:t>x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ist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en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cia,</w:t>
      </w:r>
      <w:r w:rsidRPr="0013465E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 xml:space="preserve">l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cta</w:t>
      </w:r>
      <w:r w:rsidRPr="0013465E">
        <w:rPr>
          <w:rFonts w:ascii="Palatino Linotype" w:eastAsia="Arial" w:hAnsi="Palatino Linotype" w:cs="Arial"/>
          <w:b/>
          <w:i/>
          <w:spacing w:val="5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d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pacing w:val="5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ba</w:t>
      </w:r>
      <w:r w:rsidRPr="0013465E">
        <w:rPr>
          <w:rFonts w:ascii="Palatino Linotype" w:eastAsia="Arial" w:hAnsi="Palatino Linotype" w:cs="Arial"/>
          <w:b/>
          <w:i/>
          <w:spacing w:val="-5"/>
          <w:sz w:val="22"/>
          <w:szCs w:val="22"/>
        </w:rPr>
        <w:t>j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 xml:space="preserve">a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do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c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u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m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enta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l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,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</w:t>
      </w:r>
      <w:r w:rsidRPr="0013465E">
        <w:rPr>
          <w:rFonts w:ascii="Palatino Linotype" w:eastAsia="Arial" w:hAnsi="Palatino Linotype" w:cs="Arial"/>
          <w:b/>
          <w:i/>
          <w:spacing w:val="6"/>
          <w:sz w:val="22"/>
          <w:szCs w:val="22"/>
        </w:rPr>
        <w:t>o</w:t>
      </w:r>
      <w:r w:rsidRPr="0013465E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c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u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m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en</w:t>
      </w:r>
      <w:r w:rsidRPr="0013465E">
        <w:rPr>
          <w:rFonts w:ascii="Palatino Linotype" w:eastAsia="Arial" w:hAnsi="Palatino Linotype" w:cs="Arial"/>
          <w:b/>
          <w:i/>
          <w:spacing w:val="-4"/>
          <w:sz w:val="22"/>
          <w:szCs w:val="22"/>
        </w:rPr>
        <w:t>t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m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ed</w:t>
      </w:r>
      <w:r w:rsidRPr="0013465E">
        <w:rPr>
          <w:rFonts w:ascii="Palatino Linotype" w:eastAsia="Arial" w:hAnsi="Palatino Linotype" w:cs="Arial"/>
          <w:b/>
          <w:i/>
          <w:spacing w:val="-5"/>
          <w:sz w:val="22"/>
          <w:szCs w:val="22"/>
        </w:rPr>
        <w:t>i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an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te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l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c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u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l se</w:t>
      </w:r>
      <w:r w:rsidRPr="0013465E">
        <w:rPr>
          <w:rFonts w:ascii="Palatino Linotype" w:eastAsia="Arial" w:hAnsi="Palatino Linotype" w:cs="Arial"/>
          <w:b/>
          <w:i/>
          <w:spacing w:val="6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c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re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i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t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la</w:t>
      </w:r>
      <w:r w:rsidRPr="0013465E">
        <w:rPr>
          <w:rFonts w:ascii="Palatino Linotype" w:eastAsia="Arial" w:hAnsi="Palatino Linotype" w:cs="Arial"/>
          <w:b/>
          <w:i/>
          <w:spacing w:val="4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pacing w:val="-4"/>
          <w:sz w:val="22"/>
          <w:szCs w:val="22"/>
        </w:rPr>
        <w:t>g</w:t>
      </w:r>
      <w:r w:rsidRPr="0013465E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 xml:space="preserve">l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de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strucci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ó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13465E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e</w:t>
      </w:r>
      <w:r w:rsidRPr="0013465E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l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pacing w:val="3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i</w:t>
      </w:r>
      <w:r w:rsidRPr="0013465E">
        <w:rPr>
          <w:rFonts w:ascii="Palatino Linotype" w:eastAsia="Arial" w:hAnsi="Palatino Linotype" w:cs="Arial"/>
          <w:b/>
          <w:i/>
          <w:spacing w:val="-4"/>
          <w:sz w:val="22"/>
          <w:szCs w:val="22"/>
        </w:rPr>
        <w:t>n</w:t>
      </w:r>
      <w:r w:rsidRPr="0013465E">
        <w:rPr>
          <w:rFonts w:ascii="Palatino Linotype" w:eastAsia="Arial" w:hAnsi="Palatino Linotype" w:cs="Arial"/>
          <w:b/>
          <w:i/>
          <w:spacing w:val="5"/>
          <w:sz w:val="22"/>
          <w:szCs w:val="22"/>
        </w:rPr>
        <w:t>f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o</w:t>
      </w:r>
      <w:r w:rsidRPr="0013465E">
        <w:rPr>
          <w:rFonts w:ascii="Palatino Linotype" w:eastAsia="Arial" w:hAnsi="Palatino Linotype" w:cs="Arial"/>
          <w:b/>
          <w:i/>
          <w:spacing w:val="-6"/>
          <w:sz w:val="22"/>
          <w:szCs w:val="22"/>
        </w:rPr>
        <w:t>r</w:t>
      </w:r>
      <w:r w:rsidRPr="0013465E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m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c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ió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13465E">
        <w:rPr>
          <w:rFonts w:ascii="Palatino Linotype" w:eastAsia="Arial" w:hAnsi="Palatino Linotype" w:cs="Arial"/>
          <w:b/>
          <w:i/>
          <w:spacing w:val="5"/>
          <w:sz w:val="22"/>
          <w:szCs w:val="22"/>
        </w:rPr>
        <w:t xml:space="preserve"> 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o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li</w:t>
      </w:r>
      <w:r w:rsidRPr="0013465E">
        <w:rPr>
          <w:rFonts w:ascii="Palatino Linotype" w:eastAsia="Arial" w:hAnsi="Palatino Linotype" w:cs="Arial"/>
          <w:b/>
          <w:i/>
          <w:sz w:val="22"/>
          <w:szCs w:val="22"/>
        </w:rPr>
        <w:t>cit</w:t>
      </w:r>
      <w:r w:rsidRPr="0013465E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13465E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da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17044C" w:rsidRPr="00065724" w:rsidRDefault="0017044C" w:rsidP="0017044C">
      <w:pPr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065724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es:</w:t>
      </w:r>
    </w:p>
    <w:p w:rsidR="0017044C" w:rsidRPr="00065724" w:rsidRDefault="0017044C" w:rsidP="0017044C">
      <w:pPr>
        <w:ind w:left="851" w:right="127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065724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065724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065724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065724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17044C" w:rsidRPr="00065724" w:rsidRDefault="0017044C" w:rsidP="0017044C">
      <w:pPr>
        <w:ind w:left="851" w:right="492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i/>
          <w:sz w:val="22"/>
          <w:szCs w:val="22"/>
        </w:rPr>
        <w:t>Es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17044C" w:rsidRPr="00065724" w:rsidRDefault="0017044C" w:rsidP="0017044C">
      <w:pPr>
        <w:ind w:left="851" w:right="860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17044C" w:rsidRPr="00065724" w:rsidRDefault="0017044C" w:rsidP="0017044C">
      <w:pPr>
        <w:ind w:left="851" w:right="705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17044C" w:rsidRPr="00065724" w:rsidRDefault="0017044C" w:rsidP="0017044C">
      <w:pPr>
        <w:ind w:left="851" w:right="747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065724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065724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065724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17044C" w:rsidRPr="00065724" w:rsidRDefault="0017044C" w:rsidP="0017044C">
      <w:pPr>
        <w:ind w:left="851" w:right="3805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065724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17044C" w:rsidRPr="00065724" w:rsidRDefault="0017044C" w:rsidP="0017044C">
      <w:pPr>
        <w:ind w:left="851" w:right="116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065724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065724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065724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065724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17044C" w:rsidRPr="00065724" w:rsidRDefault="0017044C" w:rsidP="0017044C">
      <w:pPr>
        <w:ind w:left="851" w:right="6210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lastRenderedPageBreak/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065724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065724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065724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065724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065724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065724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17044C" w:rsidRDefault="0017044C" w:rsidP="0017044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Por lo que, la </w:t>
      </w:r>
      <w:r w:rsidRPr="00E14680">
        <w:rPr>
          <w:rFonts w:ascii="Palatino Linotype" w:hAnsi="Palatino Linotype" w:cs="Arial"/>
        </w:rPr>
        <w:t>suscri</w:t>
      </w:r>
      <w:r>
        <w:rPr>
          <w:rFonts w:ascii="Palatino Linotype" w:hAnsi="Palatino Linotype" w:cs="Arial"/>
        </w:rPr>
        <w:t>ta</w:t>
      </w:r>
      <w:r w:rsidRPr="00E14680">
        <w:rPr>
          <w:rFonts w:ascii="Palatino Linotype" w:hAnsi="Palatino Linotype" w:cs="Arial"/>
        </w:rPr>
        <w:t xml:space="preserve"> emite </w:t>
      </w:r>
      <w:r w:rsidRPr="00E14680">
        <w:rPr>
          <w:rFonts w:ascii="Palatino Linotype" w:hAnsi="Palatino Linotype" w:cs="Arial"/>
          <w:b/>
        </w:rPr>
        <w:t>VOTO PARTICULAR</w:t>
      </w:r>
      <w:r w:rsidRPr="00E14680">
        <w:rPr>
          <w:rFonts w:ascii="Palatino Linotype" w:hAnsi="Palatino Linotype" w:cs="Arial"/>
        </w:rPr>
        <w:t xml:space="preserve">, pues se </w:t>
      </w:r>
      <w:r w:rsidR="005E31F9">
        <w:rPr>
          <w:rFonts w:ascii="Palatino Linotype" w:hAnsi="Palatino Linotype" w:cs="Arial"/>
        </w:rPr>
        <w:t xml:space="preserve">reitera que dentro del estudio realizado por la Ponencia Resolutora realizó el análisis de una normatividad ya derogada y por otra parte, debió considerarse la temporalidad de información </w:t>
      </w:r>
      <w:r w:rsidR="009B674C">
        <w:rPr>
          <w:rFonts w:ascii="Palatino Linotype" w:hAnsi="Palatino Linotype" w:cs="Arial"/>
        </w:rPr>
        <w:t xml:space="preserve">solicitada y estudiar la posibilidad de que se hubiera determinado la baja documental de la información, misma que de ser procedente debía hacerse del conocimiento </w:t>
      </w:r>
      <w:r w:rsidR="009B674C" w:rsidRPr="00E14680">
        <w:rPr>
          <w:rFonts w:ascii="Palatino Linotype" w:hAnsi="Palatino Linotype" w:cs="Arial"/>
        </w:rPr>
        <w:t>de</w:t>
      </w:r>
      <w:r w:rsidR="009B674C">
        <w:rPr>
          <w:rFonts w:ascii="Palatino Linotype" w:hAnsi="Palatino Linotype" w:cs="Arial"/>
        </w:rPr>
        <w:t>l hoy</w:t>
      </w:r>
      <w:r w:rsidR="009B674C" w:rsidRPr="00E14680">
        <w:rPr>
          <w:rFonts w:ascii="Palatino Linotype" w:hAnsi="Palatino Linotype" w:cs="Arial"/>
        </w:rPr>
        <w:t xml:space="preserve"> </w:t>
      </w:r>
      <w:r w:rsidR="009B674C" w:rsidRPr="00E14680">
        <w:rPr>
          <w:rFonts w:ascii="Palatino Linotype" w:hAnsi="Palatino Linotype" w:cs="Arial"/>
          <w:b/>
        </w:rPr>
        <w:t>RECURRENTE</w:t>
      </w:r>
      <w:r w:rsidR="009B674C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al ser el soporte de</w:t>
      </w:r>
      <w:r w:rsidR="009B674C">
        <w:rPr>
          <w:rFonts w:ascii="Palatino Linotype" w:hAnsi="Palatino Linotype" w:cs="Arial"/>
        </w:rPr>
        <w:t>l Acuerdo de Inexistencia que se ordenó en el Resolutivo Segundo de la resolución en comento, pues con ello se otorga</w:t>
      </w:r>
      <w:r>
        <w:rPr>
          <w:rFonts w:ascii="Palatino Linotype" w:hAnsi="Palatino Linotype" w:cs="Arial"/>
        </w:rPr>
        <w:t xml:space="preserve"> certeza jurídica de la inexistencia de la información al solicitante.</w:t>
      </w:r>
    </w:p>
    <w:p w:rsidR="0017044C" w:rsidRDefault="0017044C" w:rsidP="0017044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18"/>
          <w:szCs w:val="18"/>
        </w:rPr>
      </w:pPr>
    </w:p>
    <w:p w:rsidR="0017044C" w:rsidRDefault="0017044C" w:rsidP="0017044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18"/>
          <w:szCs w:val="18"/>
        </w:rPr>
      </w:pPr>
    </w:p>
    <w:p w:rsidR="0017044C" w:rsidRPr="0013465E" w:rsidRDefault="0017044C" w:rsidP="0017044C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18"/>
          <w:szCs w:val="18"/>
        </w:rPr>
      </w:pPr>
    </w:p>
    <w:p w:rsidR="0017044C" w:rsidRPr="00E14680" w:rsidRDefault="0017044C" w:rsidP="0017044C">
      <w:pPr>
        <w:jc w:val="center"/>
        <w:rPr>
          <w:rFonts w:ascii="Palatino Linotype" w:hAnsi="Palatino Linotype" w:cs="Arial"/>
          <w:b/>
        </w:rPr>
      </w:pPr>
      <w:r w:rsidRPr="00E14680">
        <w:rPr>
          <w:rFonts w:ascii="Palatino Linotype" w:hAnsi="Palatino Linotype" w:cs="Arial"/>
          <w:b/>
        </w:rPr>
        <w:t>EVA ABAID YAPUR</w:t>
      </w:r>
    </w:p>
    <w:p w:rsidR="0017044C" w:rsidRDefault="0017044C" w:rsidP="0017044C">
      <w:pPr>
        <w:jc w:val="center"/>
        <w:rPr>
          <w:rFonts w:ascii="Palatino Linotype" w:hAnsi="Palatino Linotype" w:cs="Arial"/>
          <w:b/>
        </w:rPr>
      </w:pPr>
      <w:r w:rsidRPr="00E14680">
        <w:rPr>
          <w:rFonts w:ascii="Palatino Linotype" w:hAnsi="Palatino Linotype" w:cs="Arial"/>
          <w:b/>
        </w:rPr>
        <w:t>COMISIONADA</w:t>
      </w:r>
    </w:p>
    <w:p w:rsidR="00B35E5E" w:rsidRPr="00E14680" w:rsidRDefault="00B35E5E" w:rsidP="0017044C">
      <w:pPr>
        <w:jc w:val="center"/>
        <w:rPr>
          <w:rFonts w:ascii="Palatino Linotype" w:hAnsi="Palatino Linotype" w:cs="Arial"/>
          <w:b/>
        </w:rPr>
      </w:pPr>
      <w:r>
        <w:rPr>
          <w:rFonts w:ascii="Palatino Linotype" w:hAnsi="Palatino Linotype" w:cs="Arial"/>
          <w:b/>
        </w:rPr>
        <w:t>(RÚBRICA)</w:t>
      </w:r>
      <w:bookmarkStart w:id="0" w:name="_GoBack"/>
      <w:bookmarkEnd w:id="0"/>
    </w:p>
    <w:p w:rsidR="00A337D9" w:rsidRDefault="00A337D9" w:rsidP="0017044C">
      <w:pPr>
        <w:jc w:val="both"/>
        <w:rPr>
          <w:rFonts w:ascii="Palatino Linotype" w:hAnsi="Palatino Linotype" w:cs="Arial"/>
          <w:sz w:val="18"/>
          <w:szCs w:val="18"/>
        </w:rPr>
      </w:pPr>
    </w:p>
    <w:p w:rsidR="0017044C" w:rsidRDefault="0017044C" w:rsidP="0017044C">
      <w:pPr>
        <w:jc w:val="both"/>
        <w:rPr>
          <w:rFonts w:ascii="Palatino Linotype" w:hAnsi="Palatino Linotype" w:cs="Arial"/>
          <w:sz w:val="18"/>
          <w:szCs w:val="18"/>
        </w:rPr>
      </w:pPr>
    </w:p>
    <w:p w:rsidR="0017044C" w:rsidRDefault="0017044C" w:rsidP="0017044C">
      <w:pPr>
        <w:jc w:val="both"/>
        <w:rPr>
          <w:rFonts w:ascii="Palatino Linotype" w:hAnsi="Palatino Linotype" w:cs="Arial"/>
          <w:sz w:val="18"/>
          <w:szCs w:val="18"/>
        </w:rPr>
      </w:pPr>
    </w:p>
    <w:p w:rsidR="0017044C" w:rsidRDefault="0017044C" w:rsidP="0017044C">
      <w:pPr>
        <w:jc w:val="both"/>
        <w:rPr>
          <w:rFonts w:ascii="Palatino Linotype" w:hAnsi="Palatino Linotype" w:cs="Arial"/>
          <w:sz w:val="18"/>
          <w:szCs w:val="18"/>
        </w:rPr>
      </w:pPr>
    </w:p>
    <w:p w:rsidR="00A337D9" w:rsidRDefault="00A337D9" w:rsidP="0017044C">
      <w:pPr>
        <w:jc w:val="both"/>
        <w:rPr>
          <w:rFonts w:ascii="Palatino Linotype" w:hAnsi="Palatino Linotype" w:cs="Arial"/>
          <w:sz w:val="18"/>
          <w:szCs w:val="18"/>
        </w:rPr>
      </w:pPr>
    </w:p>
    <w:p w:rsidR="00A337D9" w:rsidRDefault="00A337D9" w:rsidP="0017044C">
      <w:pPr>
        <w:jc w:val="both"/>
        <w:rPr>
          <w:rFonts w:ascii="Palatino Linotype" w:hAnsi="Palatino Linotype" w:cs="Arial"/>
          <w:sz w:val="18"/>
          <w:szCs w:val="18"/>
        </w:rPr>
      </w:pPr>
    </w:p>
    <w:p w:rsidR="00A337D9" w:rsidRDefault="00A337D9" w:rsidP="0017044C">
      <w:pPr>
        <w:jc w:val="both"/>
        <w:rPr>
          <w:rFonts w:ascii="Palatino Linotype" w:hAnsi="Palatino Linotype" w:cs="Arial"/>
          <w:sz w:val="18"/>
          <w:szCs w:val="18"/>
        </w:rPr>
      </w:pPr>
    </w:p>
    <w:p w:rsidR="00A337D9" w:rsidRDefault="00A337D9" w:rsidP="0017044C">
      <w:pPr>
        <w:jc w:val="both"/>
        <w:rPr>
          <w:rFonts w:ascii="Palatino Linotype" w:hAnsi="Palatino Linotype" w:cs="Arial"/>
          <w:sz w:val="18"/>
          <w:szCs w:val="18"/>
        </w:rPr>
      </w:pPr>
    </w:p>
    <w:p w:rsidR="00A337D9" w:rsidRDefault="00A337D9" w:rsidP="0017044C">
      <w:pPr>
        <w:jc w:val="both"/>
        <w:rPr>
          <w:rFonts w:ascii="Palatino Linotype" w:hAnsi="Palatino Linotype" w:cs="Arial"/>
          <w:sz w:val="18"/>
          <w:szCs w:val="18"/>
        </w:rPr>
      </w:pPr>
    </w:p>
    <w:p w:rsidR="0017044C" w:rsidRDefault="0017044C" w:rsidP="0017044C">
      <w:pPr>
        <w:jc w:val="both"/>
        <w:rPr>
          <w:rFonts w:ascii="Palatino Linotype" w:hAnsi="Palatino Linotype" w:cs="Arial"/>
          <w:sz w:val="20"/>
          <w:szCs w:val="20"/>
        </w:rPr>
      </w:pPr>
      <w:r w:rsidRPr="00C41856">
        <w:rPr>
          <w:rFonts w:ascii="Palatino Linotype" w:hAnsi="Palatino Linotype" w:cs="Arial"/>
          <w:sz w:val="20"/>
          <w:szCs w:val="20"/>
        </w:rPr>
        <w:t>Esta hoja corresponde al voto particular emitido en la resolución de los recursos de revisión 0</w:t>
      </w:r>
      <w:r w:rsidR="00A337D9" w:rsidRPr="00C41856">
        <w:rPr>
          <w:rFonts w:ascii="Palatino Linotype" w:hAnsi="Palatino Linotype" w:cs="Arial"/>
          <w:sz w:val="20"/>
          <w:szCs w:val="20"/>
        </w:rPr>
        <w:t>3336</w:t>
      </w:r>
      <w:r w:rsidRPr="00C41856">
        <w:rPr>
          <w:rFonts w:ascii="Palatino Linotype" w:hAnsi="Palatino Linotype" w:cs="Arial"/>
          <w:sz w:val="20"/>
          <w:szCs w:val="20"/>
        </w:rPr>
        <w:t xml:space="preserve">/INFOEM/IP/RR/2018 y acumulados </w:t>
      </w:r>
      <w:r w:rsidR="00C41856">
        <w:rPr>
          <w:rFonts w:ascii="Palatino Linotype" w:hAnsi="Palatino Linotype" w:cs="Arial"/>
          <w:sz w:val="20"/>
          <w:szCs w:val="20"/>
        </w:rPr>
        <w:t>aprobado</w:t>
      </w:r>
      <w:r w:rsidRPr="00C41856">
        <w:rPr>
          <w:rFonts w:ascii="Palatino Linotype" w:hAnsi="Palatino Linotype" w:cs="Arial"/>
          <w:sz w:val="20"/>
          <w:szCs w:val="20"/>
        </w:rPr>
        <w:t xml:space="preserve"> el </w:t>
      </w:r>
      <w:r w:rsidR="00A337D9" w:rsidRPr="00C41856">
        <w:rPr>
          <w:rFonts w:ascii="Palatino Linotype" w:hAnsi="Palatino Linotype" w:cs="Arial"/>
          <w:sz w:val="20"/>
          <w:szCs w:val="20"/>
        </w:rPr>
        <w:t xml:space="preserve">catorce de noviembre de </w:t>
      </w:r>
      <w:r w:rsidRPr="00C41856">
        <w:rPr>
          <w:rFonts w:ascii="Palatino Linotype" w:hAnsi="Palatino Linotype" w:cs="Arial"/>
          <w:sz w:val="20"/>
          <w:szCs w:val="20"/>
        </w:rPr>
        <w:t>dos mil dieciocho.</w:t>
      </w:r>
    </w:p>
    <w:p w:rsidR="00C41856" w:rsidRPr="00C41856" w:rsidRDefault="00C41856" w:rsidP="0017044C">
      <w:pPr>
        <w:jc w:val="both"/>
        <w:rPr>
          <w:rFonts w:ascii="Palatino Linotype" w:hAnsi="Palatino Linotype" w:cs="Arial"/>
          <w:sz w:val="8"/>
          <w:szCs w:val="8"/>
        </w:rPr>
      </w:pPr>
    </w:p>
    <w:p w:rsidR="00C23B43" w:rsidRPr="00C41856" w:rsidRDefault="0017044C" w:rsidP="00A337D9">
      <w:pPr>
        <w:jc w:val="both"/>
        <w:rPr>
          <w:sz w:val="20"/>
          <w:szCs w:val="20"/>
        </w:rPr>
      </w:pPr>
      <w:r w:rsidRPr="00C41856">
        <w:rPr>
          <w:rFonts w:ascii="Palatino Linotype" w:hAnsi="Palatino Linotype" w:cs="Arial"/>
          <w:sz w:val="20"/>
          <w:szCs w:val="20"/>
        </w:rPr>
        <w:t>YSM/AMV</w:t>
      </w:r>
    </w:p>
    <w:sectPr w:rsidR="00C23B43" w:rsidRPr="00C41856" w:rsidSect="005A28C0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4D1" w:rsidRDefault="001014D1">
      <w:r>
        <w:separator/>
      </w:r>
    </w:p>
  </w:endnote>
  <w:endnote w:type="continuationSeparator" w:id="0">
    <w:p w:rsidR="001014D1" w:rsidRDefault="00101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35E5E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A579D0" w:rsidRDefault="00B35E5E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B35E5E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B35E5E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B35E5E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17044C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B35E5E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B35E5E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B35E5E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4D1" w:rsidRDefault="001014D1">
      <w:r>
        <w:separator/>
      </w:r>
    </w:p>
  </w:footnote>
  <w:footnote w:type="continuationSeparator" w:id="0">
    <w:p w:rsidR="001014D1" w:rsidRDefault="001014D1">
      <w:r>
        <w:continuationSeparator/>
      </w:r>
    </w:p>
  </w:footnote>
  <w:footnote w:id="1">
    <w:p w:rsidR="00A337D9" w:rsidRPr="00A337D9" w:rsidRDefault="00A337D9" w:rsidP="00A337D9">
      <w:pPr>
        <w:ind w:right="-93"/>
        <w:jc w:val="both"/>
        <w:rPr>
          <w:rFonts w:ascii="Palatino Linotype" w:hAnsi="Palatino Linotype" w:cs="Arial"/>
          <w:bCs/>
          <w:i/>
          <w:sz w:val="16"/>
          <w:szCs w:val="16"/>
          <w:lang w:eastAsia="es-MX"/>
        </w:rPr>
      </w:pPr>
      <w:r>
        <w:rPr>
          <w:rStyle w:val="Refdenotaalpie"/>
        </w:rPr>
        <w:footnoteRef/>
      </w:r>
      <w:r>
        <w:t xml:space="preserve"> </w:t>
      </w:r>
      <w:r w:rsidRPr="00A337D9">
        <w:rPr>
          <w:rFonts w:ascii="Palatino Linotype" w:hAnsi="Palatino Linotype"/>
          <w:b/>
          <w:i/>
          <w:sz w:val="16"/>
          <w:szCs w:val="16"/>
        </w:rPr>
        <w:t>Derogar:</w:t>
      </w:r>
      <w:r>
        <w:t xml:space="preserve"> </w:t>
      </w:r>
      <w:r w:rsidRPr="00A337D9">
        <w:rPr>
          <w:rFonts w:ascii="Palatino Linotype" w:hAnsi="Palatino Linotype"/>
          <w:i/>
          <w:sz w:val="16"/>
          <w:szCs w:val="16"/>
        </w:rPr>
        <w:t>Es la abolición, anulación o revocación parcial de una norma jurídica, ley o reglamentación vigente por otra posterior y que implica que no sea necesario reexpedir todo el resto de algún ordenamiento reformado. Es decir, se refiere a la supresión de algún pasaje de la ley o decreto. Se diferencia de la reforma, en lo particular, en que ésta puede consistir en una modificación o adición y no en la supresión de algún parte de la ley y/o su articulado, como es en el caso de la derogación. </w:t>
      </w:r>
    </w:p>
    <w:p w:rsidR="00A337D9" w:rsidRPr="00A337D9" w:rsidRDefault="00A337D9" w:rsidP="00A337D9">
      <w:pPr>
        <w:pStyle w:val="Textonotapie"/>
        <w:jc w:val="both"/>
        <w:rPr>
          <w:rFonts w:ascii="Palatino Linotype" w:hAnsi="Palatino Linotype"/>
          <w:i/>
          <w:sz w:val="16"/>
          <w:szCs w:val="16"/>
        </w:rPr>
      </w:pPr>
      <w:r w:rsidRPr="00A337D9">
        <w:rPr>
          <w:rFonts w:ascii="Palatino Linotype" w:hAnsi="Palatino Linotype"/>
          <w:i/>
          <w:sz w:val="16"/>
          <w:szCs w:val="16"/>
        </w:rPr>
        <w:t>La derogación debe contener la referencia específica al numeral, inciso, fracción o párrafo que se elimina. En materia parlamentaria el concepto es referido en el inciso f) del artículo 72 constitucional, en el que se prevé, que en la "reforma o derogación" de la ley, deben observarse los mismos trámites establecidos para todo proceso legislativo. Mediante interpretación jurídica se define que cuando hay dos leyes contrapuestas se considerará derogada la de menor jerarquía y que sea más antigua.</w:t>
      </w:r>
    </w:p>
    <w:p w:rsidR="00A337D9" w:rsidRPr="00A337D9" w:rsidRDefault="00A337D9" w:rsidP="00A337D9">
      <w:pPr>
        <w:pStyle w:val="Textonotapie"/>
        <w:jc w:val="both"/>
        <w:rPr>
          <w:lang w:val="es-MX"/>
        </w:rPr>
      </w:pPr>
      <w:r w:rsidRPr="00A337D9">
        <w:rPr>
          <w:rFonts w:ascii="Palatino Linotype" w:hAnsi="Palatino Linotype"/>
          <w:b/>
          <w:i/>
          <w:sz w:val="16"/>
          <w:szCs w:val="16"/>
        </w:rPr>
        <w:t>Concepto consultable en:</w:t>
      </w:r>
      <w:r w:rsidRPr="00A337D9">
        <w:rPr>
          <w:rFonts w:ascii="Palatino Linotype" w:hAnsi="Palatino Linotype"/>
          <w:i/>
          <w:sz w:val="16"/>
          <w:szCs w:val="16"/>
        </w:rPr>
        <w:t xml:space="preserve"> http://sil.gobernacion.gob.mx/Glosario/definicionpop.php?ID=71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35E5E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6192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F7C" w:rsidRDefault="0017044C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CD02CC1" wp14:editId="7951B19D">
          <wp:simplePos x="0" y="0"/>
          <wp:positionH relativeFrom="column">
            <wp:posOffset>-702310</wp:posOffset>
          </wp:positionH>
          <wp:positionV relativeFrom="paragraph">
            <wp:posOffset>-452854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C7C8F" w:rsidRDefault="0017044C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EE6F7C" w:rsidRDefault="0017044C" w:rsidP="002C4427">
    <w:pPr>
      <w:pStyle w:val="Encabezado"/>
      <w:tabs>
        <w:tab w:val="clear" w:pos="4252"/>
        <w:tab w:val="clear" w:pos="8504"/>
        <w:tab w:val="left" w:pos="2326"/>
      </w:tabs>
      <w:ind w:left="2832"/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>RECURSO</w:t>
    </w:r>
    <w:r>
      <w:rPr>
        <w:rFonts w:ascii="Palatino Linotype" w:hAnsi="Palatino Linotype" w:cs="Arial"/>
        <w:sz w:val="20"/>
        <w:szCs w:val="20"/>
      </w:rPr>
      <w:t>S DE REVISIÓN</w:t>
    </w:r>
  </w:p>
  <w:p w:rsidR="002C4427" w:rsidRDefault="0017044C" w:rsidP="002C4427">
    <w:pPr>
      <w:pStyle w:val="Encabezado"/>
      <w:tabs>
        <w:tab w:val="clear" w:pos="4252"/>
        <w:tab w:val="clear" w:pos="8504"/>
        <w:tab w:val="left" w:pos="2326"/>
      </w:tabs>
      <w:ind w:left="2832"/>
      <w:jc w:val="right"/>
      <w:rPr>
        <w:rFonts w:ascii="Palatino Linotype" w:hAnsi="Palatino Linotype" w:cs="Arial"/>
        <w:sz w:val="20"/>
        <w:szCs w:val="20"/>
      </w:rPr>
    </w:pPr>
    <w:r>
      <w:rPr>
        <w:rFonts w:ascii="Palatino Linotype" w:hAnsi="Palatino Linotype" w:cs="Arial"/>
        <w:sz w:val="20"/>
        <w:szCs w:val="20"/>
      </w:rPr>
      <w:t>03336</w:t>
    </w:r>
    <w:r w:rsidRPr="005A28C0">
      <w:rPr>
        <w:rFonts w:ascii="Palatino Linotype" w:hAnsi="Palatino Linotype" w:cs="Arial"/>
        <w:sz w:val="20"/>
        <w:szCs w:val="20"/>
      </w:rPr>
      <w:t>/INFOEM/IP/RR/201</w:t>
    </w:r>
    <w:r>
      <w:rPr>
        <w:rFonts w:ascii="Palatino Linotype" w:hAnsi="Palatino Linotype" w:cs="Arial"/>
        <w:sz w:val="20"/>
        <w:szCs w:val="20"/>
      </w:rPr>
      <w:t>8 Y ACUMULADOS</w:t>
    </w:r>
  </w:p>
  <w:p w:rsidR="005A28C0" w:rsidRDefault="00B35E5E" w:rsidP="005A28C0">
    <w:pPr>
      <w:pStyle w:val="Encabezado"/>
      <w:tabs>
        <w:tab w:val="clear" w:pos="4252"/>
        <w:tab w:val="clear" w:pos="8504"/>
        <w:tab w:val="left" w:pos="2326"/>
      </w:tabs>
      <w:ind w:left="2832"/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82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35E5E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414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63FAE"/>
    <w:multiLevelType w:val="hybridMultilevel"/>
    <w:tmpl w:val="D7F8FC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44C"/>
    <w:rsid w:val="001014D1"/>
    <w:rsid w:val="0017044C"/>
    <w:rsid w:val="00362FE8"/>
    <w:rsid w:val="005E31F9"/>
    <w:rsid w:val="009038F7"/>
    <w:rsid w:val="00911F03"/>
    <w:rsid w:val="009B674C"/>
    <w:rsid w:val="00A337D9"/>
    <w:rsid w:val="00B35E5E"/>
    <w:rsid w:val="00C23B43"/>
    <w:rsid w:val="00C41856"/>
    <w:rsid w:val="00C9714C"/>
    <w:rsid w:val="00E30CEF"/>
    <w:rsid w:val="00F9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CDAF253A-AAEB-47C7-B73C-8E5A5321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4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044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7044C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7044C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044C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72"/>
    <w:qFormat/>
    <w:rsid w:val="0017044C"/>
    <w:pPr>
      <w:ind w:left="720"/>
      <w:contextualSpacing/>
    </w:pPr>
    <w:rPr>
      <w:rFonts w:asciiTheme="minorHAnsi" w:eastAsiaTheme="minorEastAsia" w:hAnsiTheme="minorHAnsi" w:cstheme="minorBidi"/>
      <w:lang w:val="es-ES_tradnl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72"/>
    <w:qFormat/>
    <w:locked/>
    <w:rsid w:val="0017044C"/>
    <w:rPr>
      <w:rFonts w:eastAsiaTheme="minorEastAsia"/>
      <w:sz w:val="24"/>
      <w:szCs w:val="24"/>
      <w:lang w:val="es-ES_tradnl" w:eastAsia="es-ES"/>
    </w:rPr>
  </w:style>
  <w:style w:type="paragraph" w:styleId="Sinespaciado">
    <w:name w:val="No Spacing"/>
    <w:aliases w:val="Francesa"/>
    <w:link w:val="SinespaciadoCar"/>
    <w:uiPriority w:val="1"/>
    <w:qFormat/>
    <w:rsid w:val="0017044C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SinespaciadoCar">
    <w:name w:val="Sin espaciado Car"/>
    <w:aliases w:val="Francesa Car"/>
    <w:link w:val="Sinespaciado"/>
    <w:uiPriority w:val="1"/>
    <w:locked/>
    <w:rsid w:val="0017044C"/>
    <w:rPr>
      <w:rFonts w:eastAsiaTheme="minorEastAsia"/>
      <w:sz w:val="24"/>
      <w:szCs w:val="24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37D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37D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337D9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37D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7D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10344-F22E-4858-AD25-4D0144955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1810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7</cp:revision>
  <cp:lastPrinted>2018-11-20T21:39:00Z</cp:lastPrinted>
  <dcterms:created xsi:type="dcterms:W3CDTF">2018-11-16T21:22:00Z</dcterms:created>
  <dcterms:modified xsi:type="dcterms:W3CDTF">2019-01-11T03:12:00Z</dcterms:modified>
</cp:coreProperties>
</file>